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0BAA" w:rsidRPr="00A37FC8" w:rsidRDefault="005A3EF7" w:rsidP="00040E92">
      <w:pPr>
        <w:pStyle w:val="Title"/>
        <w:ind w:right="142"/>
      </w:pPr>
      <w:r w:rsidRPr="00A37FC8">
        <w:t>E</w:t>
      </w:r>
      <w:r w:rsidR="00240BAA" w:rsidRPr="00A37FC8">
        <w:t>uropean Covered Bond Council (ECBC)</w:t>
      </w:r>
    </w:p>
    <w:p w:rsidR="00240BAA" w:rsidRPr="00A37FC8" w:rsidRDefault="00240BAA" w:rsidP="00040E92">
      <w:pPr>
        <w:tabs>
          <w:tab w:val="left" w:pos="4067"/>
        </w:tabs>
        <w:ind w:right="142"/>
        <w:jc w:val="center"/>
        <w:rPr>
          <w:rFonts w:asciiTheme="majorHAnsi" w:hAnsiTheme="majorHAnsi" w:cstheme="majorHAnsi"/>
          <w:sz w:val="20"/>
          <w:szCs w:val="20"/>
          <w:lang w:val="en-GB"/>
        </w:rPr>
      </w:pPr>
      <w:r w:rsidRPr="00A37FC8">
        <w:rPr>
          <w:rFonts w:asciiTheme="majorHAnsi" w:hAnsiTheme="majorHAnsi" w:cstheme="majorHAnsi"/>
          <w:sz w:val="20"/>
          <w:szCs w:val="20"/>
          <w:lang w:val="en-GB"/>
        </w:rPr>
        <w:t>_____________________________________________________</w:t>
      </w:r>
    </w:p>
    <w:p w:rsidR="00240BAA" w:rsidRPr="00A37FC8" w:rsidRDefault="00240BAA" w:rsidP="00040E92">
      <w:pPr>
        <w:tabs>
          <w:tab w:val="left" w:pos="4067"/>
        </w:tabs>
        <w:ind w:right="142"/>
        <w:jc w:val="center"/>
        <w:rPr>
          <w:rFonts w:asciiTheme="majorHAnsi" w:hAnsiTheme="majorHAnsi" w:cstheme="majorHAnsi"/>
          <w:sz w:val="20"/>
          <w:szCs w:val="20"/>
          <w:lang w:val="en-GB"/>
        </w:rPr>
      </w:pPr>
    </w:p>
    <w:p w:rsidR="00240BAA" w:rsidRPr="00A37FC8" w:rsidRDefault="00DB6E70" w:rsidP="00040E92">
      <w:pPr>
        <w:pStyle w:val="Subtitle"/>
        <w:ind w:right="142"/>
      </w:pPr>
      <w:r w:rsidRPr="00A37FC8">
        <w:t>ECBC Position on</w:t>
      </w:r>
      <w:r w:rsidR="00240BAA" w:rsidRPr="00A37FC8">
        <w:t xml:space="preserve"> </w:t>
      </w:r>
      <w:r w:rsidRPr="00A37FC8">
        <w:t xml:space="preserve">Draft ECON Report on </w:t>
      </w:r>
      <w:r w:rsidR="00240BAA" w:rsidRPr="00A37FC8">
        <w:t xml:space="preserve">Covered Bond Legislative Package </w:t>
      </w:r>
    </w:p>
    <w:p w:rsidR="00240BAA" w:rsidRPr="00A37FC8" w:rsidRDefault="00240BAA" w:rsidP="00040E92">
      <w:pPr>
        <w:tabs>
          <w:tab w:val="left" w:pos="4067"/>
        </w:tabs>
        <w:ind w:right="142"/>
        <w:jc w:val="center"/>
        <w:rPr>
          <w:rFonts w:asciiTheme="majorHAnsi" w:hAnsiTheme="majorHAnsi" w:cstheme="majorHAnsi"/>
          <w:sz w:val="20"/>
          <w:szCs w:val="20"/>
          <w:lang w:val="en-GB"/>
        </w:rPr>
      </w:pPr>
      <w:r w:rsidRPr="00A37FC8">
        <w:rPr>
          <w:rFonts w:asciiTheme="majorHAnsi" w:hAnsiTheme="majorHAnsi" w:cstheme="majorHAnsi"/>
          <w:sz w:val="20"/>
          <w:szCs w:val="20"/>
          <w:lang w:val="en-GB"/>
        </w:rPr>
        <w:t>_____________________________________________________</w:t>
      </w:r>
    </w:p>
    <w:p w:rsidR="00E202E7" w:rsidRPr="00A37FC8" w:rsidRDefault="00E202E7" w:rsidP="00E202E7">
      <w:pPr>
        <w:tabs>
          <w:tab w:val="left" w:pos="4067"/>
        </w:tabs>
        <w:ind w:right="140"/>
        <w:jc w:val="right"/>
        <w:rPr>
          <w:rFonts w:asciiTheme="majorHAnsi" w:hAnsiTheme="majorHAnsi" w:cstheme="majorHAnsi"/>
          <w:sz w:val="18"/>
          <w:szCs w:val="20"/>
          <w:lang w:val="en-GB"/>
        </w:rPr>
      </w:pPr>
    </w:p>
    <w:p w:rsidR="00D018BC" w:rsidRPr="00A37FC8" w:rsidRDefault="009B7FA3" w:rsidP="00DB6E70">
      <w:pPr>
        <w:tabs>
          <w:tab w:val="left" w:pos="4067"/>
        </w:tabs>
        <w:ind w:right="140"/>
        <w:jc w:val="right"/>
        <w:rPr>
          <w:rFonts w:asciiTheme="majorHAnsi" w:hAnsiTheme="majorHAnsi" w:cstheme="majorHAnsi"/>
          <w:b/>
          <w:sz w:val="18"/>
          <w:szCs w:val="20"/>
          <w:lang w:val="en-GB"/>
        </w:rPr>
      </w:pPr>
      <w:r w:rsidRPr="00A37FC8">
        <w:rPr>
          <w:rFonts w:asciiTheme="majorHAnsi" w:hAnsiTheme="majorHAnsi" w:cstheme="majorHAnsi"/>
          <w:b/>
          <w:sz w:val="18"/>
          <w:szCs w:val="20"/>
          <w:lang w:val="en-GB"/>
        </w:rPr>
        <w:t xml:space="preserve">Brussels, </w:t>
      </w:r>
      <w:r w:rsidR="00040E92" w:rsidRPr="00A37FC8">
        <w:rPr>
          <w:rFonts w:asciiTheme="majorHAnsi" w:hAnsiTheme="majorHAnsi" w:cstheme="majorHAnsi"/>
          <w:b/>
          <w:sz w:val="18"/>
          <w:szCs w:val="20"/>
          <w:lang w:val="en-GB"/>
        </w:rPr>
        <w:t xml:space="preserve">17 </w:t>
      </w:r>
      <w:r w:rsidR="00E202E7" w:rsidRPr="00A37FC8">
        <w:rPr>
          <w:rFonts w:asciiTheme="majorHAnsi" w:hAnsiTheme="majorHAnsi" w:cstheme="majorHAnsi"/>
          <w:b/>
          <w:sz w:val="18"/>
          <w:szCs w:val="20"/>
          <w:lang w:val="en-GB"/>
        </w:rPr>
        <w:t>September 2018</w:t>
      </w:r>
    </w:p>
    <w:p w:rsidR="0016291A" w:rsidRPr="00A37FC8" w:rsidRDefault="0016291A" w:rsidP="0016291A">
      <w:pPr>
        <w:tabs>
          <w:tab w:val="left" w:pos="426"/>
        </w:tabs>
        <w:ind w:right="140"/>
        <w:jc w:val="both"/>
        <w:rPr>
          <w:rFonts w:asciiTheme="majorHAnsi" w:hAnsiTheme="majorHAnsi" w:cstheme="majorHAnsi"/>
          <w:sz w:val="20"/>
          <w:szCs w:val="22"/>
          <w:lang w:val="en-GB"/>
        </w:rPr>
      </w:pPr>
    </w:p>
    <w:p w:rsidR="00DB6E70" w:rsidRPr="00A37FC8" w:rsidRDefault="0016291A" w:rsidP="0016291A">
      <w:pPr>
        <w:tabs>
          <w:tab w:val="left" w:pos="426"/>
        </w:tabs>
        <w:ind w:right="140"/>
        <w:jc w:val="both"/>
        <w:rPr>
          <w:rFonts w:asciiTheme="majorHAnsi" w:hAnsiTheme="majorHAnsi" w:cstheme="majorHAnsi"/>
          <w:sz w:val="20"/>
          <w:szCs w:val="22"/>
          <w:lang w:val="en-GB"/>
        </w:rPr>
      </w:pPr>
      <w:r w:rsidRPr="00A37FC8">
        <w:rPr>
          <w:rFonts w:asciiTheme="majorHAnsi" w:hAnsiTheme="majorHAnsi" w:cstheme="majorHAnsi"/>
          <w:sz w:val="20"/>
          <w:szCs w:val="22"/>
          <w:lang w:val="en-GB"/>
        </w:rPr>
        <w:t xml:space="preserve">The </w:t>
      </w:r>
      <w:r w:rsidR="00A37FC8">
        <w:rPr>
          <w:rFonts w:asciiTheme="majorHAnsi" w:hAnsiTheme="majorHAnsi" w:cstheme="majorHAnsi"/>
          <w:sz w:val="20"/>
          <w:szCs w:val="22"/>
          <w:lang w:val="en-GB"/>
        </w:rPr>
        <w:t>European Mortgage Federation – European Covered Bond Council (</w:t>
      </w:r>
      <w:r w:rsidRPr="00A37FC8">
        <w:rPr>
          <w:rFonts w:asciiTheme="majorHAnsi" w:hAnsiTheme="majorHAnsi" w:cstheme="majorHAnsi"/>
          <w:sz w:val="20"/>
          <w:szCs w:val="22"/>
          <w:lang w:val="en-GB"/>
        </w:rPr>
        <w:t>EMF-ECBC</w:t>
      </w:r>
      <w:r w:rsidR="00A37FC8">
        <w:rPr>
          <w:rFonts w:asciiTheme="majorHAnsi" w:hAnsiTheme="majorHAnsi" w:cstheme="majorHAnsi"/>
          <w:sz w:val="20"/>
          <w:szCs w:val="22"/>
          <w:lang w:val="en-GB"/>
        </w:rPr>
        <w:t>)</w:t>
      </w:r>
      <w:r w:rsidRPr="00A37FC8">
        <w:rPr>
          <w:rFonts w:asciiTheme="majorHAnsi" w:hAnsiTheme="majorHAnsi" w:cstheme="majorHAnsi"/>
          <w:sz w:val="20"/>
          <w:szCs w:val="22"/>
          <w:lang w:val="en-GB"/>
        </w:rPr>
        <w:t xml:space="preserve"> welcomes the objectives of the European Commission’s proposals for an EU Covered Bond Legislative Framework to promote further integration of the EU’s financial markets and reinforce the Capital Markets Union (CMU)</w:t>
      </w:r>
      <w:r w:rsidR="001D3D2B">
        <w:rPr>
          <w:rFonts w:asciiTheme="majorHAnsi" w:hAnsiTheme="majorHAnsi" w:cstheme="majorHAnsi"/>
          <w:sz w:val="20"/>
          <w:szCs w:val="22"/>
          <w:lang w:val="en-GB"/>
        </w:rPr>
        <w:t>.</w:t>
      </w:r>
      <w:r w:rsidRPr="00A37FC8">
        <w:rPr>
          <w:rFonts w:asciiTheme="majorHAnsi" w:hAnsiTheme="majorHAnsi" w:cstheme="majorHAnsi"/>
          <w:sz w:val="20"/>
          <w:szCs w:val="22"/>
          <w:lang w:val="en-GB"/>
        </w:rPr>
        <w:t xml:space="preserve"> </w:t>
      </w:r>
    </w:p>
    <w:p w:rsidR="00DB6E70" w:rsidRPr="00A37FC8" w:rsidRDefault="00DB6E70" w:rsidP="0016291A">
      <w:pPr>
        <w:tabs>
          <w:tab w:val="left" w:pos="426"/>
        </w:tabs>
        <w:ind w:right="140"/>
        <w:jc w:val="both"/>
        <w:rPr>
          <w:rFonts w:asciiTheme="majorHAnsi" w:hAnsiTheme="majorHAnsi" w:cstheme="majorHAnsi"/>
          <w:sz w:val="20"/>
          <w:szCs w:val="22"/>
          <w:lang w:val="en-GB"/>
        </w:rPr>
      </w:pPr>
    </w:p>
    <w:p w:rsidR="000A076A" w:rsidRPr="00A37FC8" w:rsidRDefault="004C51E5" w:rsidP="000A076A">
      <w:pPr>
        <w:tabs>
          <w:tab w:val="left" w:pos="426"/>
        </w:tabs>
        <w:ind w:right="140"/>
        <w:jc w:val="both"/>
        <w:rPr>
          <w:rFonts w:asciiTheme="majorHAnsi" w:hAnsiTheme="majorHAnsi" w:cstheme="majorHAnsi"/>
          <w:sz w:val="20"/>
          <w:szCs w:val="22"/>
          <w:lang w:val="en-GB"/>
        </w:rPr>
      </w:pPr>
      <w:r w:rsidRPr="00A37FC8">
        <w:rPr>
          <w:rFonts w:asciiTheme="majorHAnsi" w:hAnsiTheme="majorHAnsi" w:cstheme="majorHAnsi"/>
          <w:sz w:val="20"/>
          <w:szCs w:val="22"/>
          <w:lang w:val="en-GB"/>
        </w:rPr>
        <w:t>The ECBC recognises the significance of the work of the EU Institut</w:t>
      </w:r>
      <w:r w:rsidR="00FA4BBC" w:rsidRPr="00A37FC8">
        <w:rPr>
          <w:rFonts w:asciiTheme="majorHAnsi" w:hAnsiTheme="majorHAnsi" w:cstheme="majorHAnsi"/>
          <w:sz w:val="20"/>
          <w:szCs w:val="22"/>
          <w:lang w:val="en-GB"/>
        </w:rPr>
        <w:t>ions to identify common ground and secure</w:t>
      </w:r>
      <w:r w:rsidRPr="00A37FC8">
        <w:rPr>
          <w:rFonts w:asciiTheme="majorHAnsi" w:hAnsiTheme="majorHAnsi" w:cstheme="majorHAnsi"/>
          <w:sz w:val="20"/>
          <w:szCs w:val="22"/>
          <w:lang w:val="en-GB"/>
        </w:rPr>
        <w:t xml:space="preserve"> a qualitative benchmark at European and global level for the covered bond asset class. With a view to facilitating the current legislative debate</w:t>
      </w:r>
      <w:r w:rsidR="00FA4BBC" w:rsidRPr="00A37FC8">
        <w:rPr>
          <w:rFonts w:asciiTheme="majorHAnsi" w:hAnsiTheme="majorHAnsi" w:cstheme="majorHAnsi"/>
          <w:sz w:val="20"/>
          <w:szCs w:val="22"/>
          <w:lang w:val="en-GB"/>
        </w:rPr>
        <w:t>s</w:t>
      </w:r>
      <w:r w:rsidRPr="00A37FC8">
        <w:rPr>
          <w:rFonts w:asciiTheme="majorHAnsi" w:hAnsiTheme="majorHAnsi" w:cstheme="majorHAnsi"/>
          <w:sz w:val="20"/>
          <w:szCs w:val="22"/>
          <w:lang w:val="en-GB"/>
        </w:rPr>
        <w:t xml:space="preserve"> in the European Parliament and Council of the EU, the ECBC </w:t>
      </w:r>
      <w:r w:rsidR="000A076A" w:rsidRPr="00A37FC8">
        <w:rPr>
          <w:rFonts w:asciiTheme="majorHAnsi" w:hAnsiTheme="majorHAnsi" w:cstheme="majorHAnsi"/>
          <w:sz w:val="20"/>
          <w:szCs w:val="22"/>
          <w:lang w:val="en-GB"/>
        </w:rPr>
        <w:t>worked intensively to assess MEP Lucke’s proposed amendments (</w:t>
      </w:r>
      <w:hyperlink r:id="rId8" w:history="1">
        <w:r w:rsidR="000A076A" w:rsidRPr="00A37FC8">
          <w:rPr>
            <w:rStyle w:val="Hyperlink"/>
            <w:rFonts w:asciiTheme="majorHAnsi" w:hAnsiTheme="majorHAnsi" w:cstheme="majorHAnsi"/>
            <w:sz w:val="20"/>
            <w:szCs w:val="22"/>
            <w:lang w:val="en-GB"/>
          </w:rPr>
          <w:t>here</w:t>
        </w:r>
      </w:hyperlink>
      <w:r w:rsidR="000A076A" w:rsidRPr="00A37FC8">
        <w:rPr>
          <w:rFonts w:asciiTheme="majorHAnsi" w:hAnsiTheme="majorHAnsi" w:cstheme="majorHAnsi"/>
          <w:sz w:val="20"/>
          <w:szCs w:val="22"/>
          <w:lang w:val="en-GB"/>
        </w:rPr>
        <w:t xml:space="preserve"> for the proposal for a directive and </w:t>
      </w:r>
      <w:hyperlink r:id="rId9" w:history="1">
        <w:r w:rsidR="000A076A" w:rsidRPr="00A37FC8">
          <w:rPr>
            <w:rStyle w:val="Hyperlink"/>
            <w:rFonts w:asciiTheme="majorHAnsi" w:hAnsiTheme="majorHAnsi" w:cstheme="majorHAnsi"/>
            <w:sz w:val="20"/>
            <w:szCs w:val="22"/>
            <w:lang w:val="en-GB"/>
          </w:rPr>
          <w:t>here</w:t>
        </w:r>
      </w:hyperlink>
      <w:r w:rsidR="000A076A" w:rsidRPr="00A37FC8">
        <w:rPr>
          <w:rFonts w:asciiTheme="majorHAnsi" w:hAnsiTheme="majorHAnsi" w:cstheme="majorHAnsi"/>
          <w:sz w:val="20"/>
          <w:szCs w:val="22"/>
          <w:lang w:val="en-GB"/>
        </w:rPr>
        <w:t xml:space="preserve"> for the proposal for a regulation) to the European Commission’s proposals and gathers, within this paper, an overall understanding of the main concerns of the European covered bond industry through its national experts and representatives.</w:t>
      </w:r>
    </w:p>
    <w:p w:rsidR="000A076A" w:rsidRPr="00A37FC8" w:rsidRDefault="000A076A" w:rsidP="000A076A">
      <w:pPr>
        <w:tabs>
          <w:tab w:val="left" w:pos="426"/>
        </w:tabs>
        <w:ind w:right="140"/>
        <w:jc w:val="both"/>
        <w:rPr>
          <w:rFonts w:asciiTheme="majorHAnsi" w:hAnsiTheme="majorHAnsi" w:cstheme="majorHAnsi"/>
          <w:sz w:val="20"/>
          <w:szCs w:val="22"/>
          <w:lang w:val="en-GB"/>
        </w:rPr>
      </w:pPr>
    </w:p>
    <w:p w:rsidR="000A076A" w:rsidRPr="00A37FC8" w:rsidRDefault="000A076A" w:rsidP="000A076A">
      <w:pPr>
        <w:tabs>
          <w:tab w:val="left" w:pos="426"/>
        </w:tabs>
        <w:ind w:right="140"/>
        <w:jc w:val="both"/>
        <w:rPr>
          <w:rFonts w:asciiTheme="majorHAnsi" w:hAnsiTheme="majorHAnsi" w:cstheme="majorHAnsi"/>
          <w:sz w:val="20"/>
          <w:szCs w:val="22"/>
          <w:lang w:val="en-GB"/>
        </w:rPr>
      </w:pPr>
      <w:r w:rsidRPr="00A37FC8">
        <w:rPr>
          <w:rFonts w:asciiTheme="majorHAnsi" w:hAnsiTheme="majorHAnsi" w:cstheme="majorHAnsi"/>
          <w:sz w:val="20"/>
          <w:szCs w:val="22"/>
          <w:lang w:val="en-GB"/>
        </w:rPr>
        <w:t xml:space="preserve">The feedback collected is </w:t>
      </w:r>
      <w:r w:rsidR="005A3EF7" w:rsidRPr="00A37FC8">
        <w:rPr>
          <w:rFonts w:asciiTheme="majorHAnsi" w:hAnsiTheme="majorHAnsi" w:cstheme="majorHAnsi"/>
          <w:sz w:val="20"/>
          <w:szCs w:val="22"/>
          <w:lang w:val="en-GB"/>
        </w:rPr>
        <w:t>ranked</w:t>
      </w:r>
      <w:r w:rsidRPr="00A37FC8">
        <w:rPr>
          <w:rFonts w:asciiTheme="majorHAnsi" w:hAnsiTheme="majorHAnsi" w:cstheme="majorHAnsi"/>
          <w:sz w:val="20"/>
          <w:szCs w:val="22"/>
          <w:lang w:val="en-GB"/>
        </w:rPr>
        <w:t xml:space="preserve"> from 1 to 4</w:t>
      </w:r>
      <w:r w:rsidR="005A3EF7" w:rsidRPr="00A37FC8">
        <w:rPr>
          <w:rFonts w:asciiTheme="majorHAnsi" w:hAnsiTheme="majorHAnsi" w:cstheme="majorHAnsi"/>
          <w:sz w:val="20"/>
          <w:szCs w:val="22"/>
          <w:lang w:val="en-GB"/>
        </w:rPr>
        <w:t xml:space="preserve"> according to level of</w:t>
      </w:r>
      <w:r w:rsidRPr="00A37FC8">
        <w:rPr>
          <w:rFonts w:asciiTheme="majorHAnsi" w:hAnsiTheme="majorHAnsi" w:cstheme="majorHAnsi"/>
          <w:sz w:val="20"/>
          <w:szCs w:val="22"/>
          <w:lang w:val="en-GB"/>
        </w:rPr>
        <w:t xml:space="preserve"> seriousness and scope (national or European)</w:t>
      </w:r>
      <w:r w:rsidR="003A21EC">
        <w:rPr>
          <w:rFonts w:asciiTheme="majorHAnsi" w:hAnsiTheme="majorHAnsi" w:cstheme="majorHAnsi"/>
          <w:sz w:val="20"/>
          <w:szCs w:val="22"/>
          <w:lang w:val="en-GB"/>
        </w:rPr>
        <w:t>,</w:t>
      </w:r>
      <w:r w:rsidRPr="00A37FC8">
        <w:rPr>
          <w:rFonts w:asciiTheme="majorHAnsi" w:hAnsiTheme="majorHAnsi" w:cstheme="majorHAnsi"/>
          <w:sz w:val="20"/>
          <w:szCs w:val="22"/>
          <w:lang w:val="en-GB"/>
        </w:rPr>
        <w:t xml:space="preserve"> and consolidates feedback received from </w:t>
      </w:r>
      <w:r w:rsidRPr="00A37FC8">
        <w:rPr>
          <w:rFonts w:asciiTheme="majorHAnsi" w:hAnsiTheme="majorHAnsi" w:cstheme="majorHAnsi"/>
          <w:b/>
          <w:sz w:val="20"/>
          <w:szCs w:val="22"/>
          <w:lang w:val="en-GB"/>
        </w:rPr>
        <w:t xml:space="preserve">15 countries </w:t>
      </w:r>
      <w:r w:rsidRPr="00A37FC8">
        <w:rPr>
          <w:rFonts w:asciiTheme="majorHAnsi" w:hAnsiTheme="majorHAnsi" w:cstheme="majorHAnsi"/>
          <w:sz w:val="20"/>
          <w:szCs w:val="22"/>
          <w:lang w:val="en-GB"/>
        </w:rPr>
        <w:t xml:space="preserve">representing </w:t>
      </w:r>
      <w:r w:rsidRPr="00A37FC8">
        <w:rPr>
          <w:rFonts w:asciiTheme="majorHAnsi" w:hAnsiTheme="majorHAnsi" w:cstheme="majorHAnsi"/>
          <w:b/>
          <w:bCs/>
          <w:sz w:val="20"/>
          <w:szCs w:val="22"/>
          <w:lang w:val="en-GB"/>
        </w:rPr>
        <w:t xml:space="preserve">94.2% of outstanding covered bonds </w:t>
      </w:r>
      <w:r w:rsidRPr="00A37FC8">
        <w:rPr>
          <w:rFonts w:asciiTheme="majorHAnsi" w:hAnsiTheme="majorHAnsi" w:cstheme="majorHAnsi"/>
          <w:sz w:val="20"/>
          <w:szCs w:val="22"/>
          <w:lang w:val="en-GB"/>
        </w:rPr>
        <w:t xml:space="preserve">and </w:t>
      </w:r>
      <w:r w:rsidRPr="00A37FC8">
        <w:rPr>
          <w:rFonts w:asciiTheme="majorHAnsi" w:hAnsiTheme="majorHAnsi" w:cstheme="majorHAnsi"/>
          <w:b/>
          <w:bCs/>
          <w:sz w:val="20"/>
          <w:szCs w:val="22"/>
          <w:lang w:val="en-GB"/>
        </w:rPr>
        <w:t xml:space="preserve">91.2% of total outstanding residential mortgages </w:t>
      </w:r>
      <w:r w:rsidRPr="00A37FC8">
        <w:rPr>
          <w:rFonts w:asciiTheme="majorHAnsi" w:hAnsiTheme="majorHAnsi" w:cstheme="majorHAnsi"/>
          <w:sz w:val="20"/>
          <w:szCs w:val="22"/>
          <w:lang w:val="en-GB"/>
        </w:rPr>
        <w:t xml:space="preserve">in the European Economic Area (EEA). </w:t>
      </w:r>
    </w:p>
    <w:p w:rsidR="000A076A" w:rsidRPr="00A37FC8" w:rsidRDefault="000A076A" w:rsidP="004C51E5">
      <w:pPr>
        <w:jc w:val="both"/>
        <w:rPr>
          <w:rFonts w:asciiTheme="majorHAnsi" w:hAnsiTheme="majorHAnsi" w:cstheme="majorHAnsi"/>
          <w:sz w:val="20"/>
          <w:szCs w:val="22"/>
          <w:lang w:val="en-GB"/>
        </w:rPr>
      </w:pPr>
    </w:p>
    <w:p w:rsidR="004C51E5" w:rsidRPr="00A37FC8" w:rsidRDefault="00591635" w:rsidP="004C51E5">
      <w:pPr>
        <w:jc w:val="both"/>
        <w:rPr>
          <w:rFonts w:asciiTheme="majorHAnsi" w:hAnsiTheme="majorHAnsi" w:cstheme="majorHAnsi"/>
          <w:sz w:val="20"/>
          <w:szCs w:val="22"/>
          <w:lang w:val="en-GB"/>
        </w:rPr>
      </w:pPr>
      <w:r w:rsidRPr="00A37FC8">
        <w:rPr>
          <w:rFonts w:asciiTheme="majorHAnsi" w:hAnsiTheme="majorHAnsi" w:cstheme="majorHAnsi"/>
          <w:sz w:val="20"/>
          <w:szCs w:val="22"/>
          <w:lang w:val="en-GB"/>
        </w:rPr>
        <w:t>During</w:t>
      </w:r>
      <w:r w:rsidR="000A076A" w:rsidRPr="00A37FC8">
        <w:rPr>
          <w:rFonts w:asciiTheme="majorHAnsi" w:hAnsiTheme="majorHAnsi" w:cstheme="majorHAnsi"/>
          <w:sz w:val="20"/>
          <w:szCs w:val="22"/>
          <w:lang w:val="en-GB"/>
        </w:rPr>
        <w:t xml:space="preserve"> its meeting in Munich on 11 September</w:t>
      </w:r>
      <w:r w:rsidR="003A21EC">
        <w:rPr>
          <w:rFonts w:asciiTheme="majorHAnsi" w:hAnsiTheme="majorHAnsi" w:cstheme="majorHAnsi"/>
          <w:sz w:val="20"/>
          <w:szCs w:val="22"/>
          <w:lang w:val="en-GB"/>
        </w:rPr>
        <w:t xml:space="preserve"> 2018</w:t>
      </w:r>
      <w:r w:rsidR="000A076A" w:rsidRPr="00A37FC8">
        <w:rPr>
          <w:rFonts w:asciiTheme="majorHAnsi" w:hAnsiTheme="majorHAnsi" w:cstheme="majorHAnsi"/>
          <w:sz w:val="20"/>
          <w:szCs w:val="22"/>
          <w:lang w:val="en-GB"/>
        </w:rPr>
        <w:t xml:space="preserve">, the ECBC </w:t>
      </w:r>
      <w:r w:rsidR="004C51E5" w:rsidRPr="00A37FC8">
        <w:rPr>
          <w:rFonts w:asciiTheme="majorHAnsi" w:hAnsiTheme="majorHAnsi" w:cstheme="majorHAnsi"/>
          <w:sz w:val="20"/>
          <w:szCs w:val="22"/>
          <w:lang w:val="en-GB"/>
        </w:rPr>
        <w:t>Steering Committee analysed the feedback received</w:t>
      </w:r>
      <w:r w:rsidR="000A076A" w:rsidRPr="00A37FC8">
        <w:rPr>
          <w:rFonts w:asciiTheme="majorHAnsi" w:hAnsiTheme="majorHAnsi" w:cstheme="majorHAnsi"/>
          <w:sz w:val="20"/>
          <w:szCs w:val="22"/>
          <w:lang w:val="en-GB"/>
        </w:rPr>
        <w:t xml:space="preserve"> </w:t>
      </w:r>
      <w:r w:rsidRPr="00A37FC8">
        <w:rPr>
          <w:rFonts w:asciiTheme="majorHAnsi" w:hAnsiTheme="majorHAnsi" w:cstheme="majorHAnsi"/>
          <w:sz w:val="20"/>
          <w:szCs w:val="22"/>
          <w:lang w:val="en-GB"/>
        </w:rPr>
        <w:t xml:space="preserve">on MEP Lucke’s draft Report </w:t>
      </w:r>
      <w:r w:rsidR="000A076A" w:rsidRPr="00A37FC8">
        <w:rPr>
          <w:rFonts w:asciiTheme="majorHAnsi" w:hAnsiTheme="majorHAnsi" w:cstheme="majorHAnsi"/>
          <w:sz w:val="20"/>
          <w:szCs w:val="22"/>
          <w:lang w:val="en-GB"/>
        </w:rPr>
        <w:t>and discussed the potential implications for the current, well-functioning market</w:t>
      </w:r>
      <w:r w:rsidR="003A21EC">
        <w:rPr>
          <w:rFonts w:asciiTheme="majorHAnsi" w:hAnsiTheme="majorHAnsi" w:cstheme="majorHAnsi"/>
          <w:sz w:val="20"/>
          <w:szCs w:val="22"/>
          <w:lang w:val="en-GB"/>
        </w:rPr>
        <w:t>s</w:t>
      </w:r>
      <w:r w:rsidR="000A076A" w:rsidRPr="00A37FC8">
        <w:rPr>
          <w:rFonts w:asciiTheme="majorHAnsi" w:hAnsiTheme="majorHAnsi" w:cstheme="majorHAnsi"/>
          <w:sz w:val="20"/>
          <w:szCs w:val="22"/>
          <w:lang w:val="en-GB"/>
        </w:rPr>
        <w:t>. Indeed, w</w:t>
      </w:r>
      <w:r w:rsidR="004C51E5" w:rsidRPr="00A37FC8">
        <w:rPr>
          <w:rFonts w:asciiTheme="majorHAnsi" w:hAnsiTheme="majorHAnsi" w:cstheme="majorHAnsi"/>
          <w:sz w:val="20"/>
          <w:szCs w:val="22"/>
          <w:lang w:val="en-GB"/>
        </w:rPr>
        <w:t xml:space="preserve">e strongly believe </w:t>
      </w:r>
      <w:r w:rsidR="003A21EC">
        <w:rPr>
          <w:rFonts w:asciiTheme="majorHAnsi" w:hAnsiTheme="majorHAnsi" w:cstheme="majorHAnsi"/>
          <w:sz w:val="20"/>
          <w:szCs w:val="22"/>
          <w:lang w:val="en-GB"/>
        </w:rPr>
        <w:t xml:space="preserve">that </w:t>
      </w:r>
      <w:r w:rsidR="004C51E5" w:rsidRPr="00A37FC8">
        <w:rPr>
          <w:rFonts w:asciiTheme="majorHAnsi" w:hAnsiTheme="majorHAnsi" w:cstheme="majorHAnsi"/>
          <w:sz w:val="20"/>
          <w:szCs w:val="22"/>
          <w:lang w:val="en-GB"/>
        </w:rPr>
        <w:t>a European covered bond legi</w:t>
      </w:r>
      <w:r w:rsidR="000A076A" w:rsidRPr="00A37FC8">
        <w:rPr>
          <w:rFonts w:asciiTheme="majorHAnsi" w:hAnsiTheme="majorHAnsi" w:cstheme="majorHAnsi"/>
          <w:sz w:val="20"/>
          <w:szCs w:val="22"/>
          <w:lang w:val="en-GB"/>
        </w:rPr>
        <w:t>slative framework should reinforce quality, add value for issuers and investors</w:t>
      </w:r>
      <w:r w:rsidR="003A21EC">
        <w:rPr>
          <w:rFonts w:asciiTheme="majorHAnsi" w:hAnsiTheme="majorHAnsi" w:cstheme="majorHAnsi"/>
          <w:sz w:val="20"/>
          <w:szCs w:val="22"/>
          <w:lang w:val="en-GB"/>
        </w:rPr>
        <w:t>,</w:t>
      </w:r>
      <w:r w:rsidR="000A076A" w:rsidRPr="00A37FC8">
        <w:rPr>
          <w:rFonts w:asciiTheme="majorHAnsi" w:hAnsiTheme="majorHAnsi" w:cstheme="majorHAnsi"/>
          <w:sz w:val="20"/>
          <w:szCs w:val="22"/>
          <w:lang w:val="en-GB"/>
        </w:rPr>
        <w:t xml:space="preserve"> and safeguard the macroprudential characteristics of </w:t>
      </w:r>
      <w:r w:rsidR="00FA4BBC" w:rsidRPr="00A37FC8">
        <w:rPr>
          <w:rFonts w:asciiTheme="majorHAnsi" w:hAnsiTheme="majorHAnsi" w:cstheme="majorHAnsi"/>
          <w:sz w:val="20"/>
          <w:szCs w:val="22"/>
          <w:lang w:val="en-GB"/>
        </w:rPr>
        <w:t>covered bonds</w:t>
      </w:r>
      <w:r w:rsidR="000A076A" w:rsidRPr="00A37FC8">
        <w:rPr>
          <w:rFonts w:asciiTheme="majorHAnsi" w:hAnsiTheme="majorHAnsi" w:cstheme="majorHAnsi"/>
          <w:sz w:val="20"/>
          <w:szCs w:val="22"/>
          <w:lang w:val="en-GB"/>
        </w:rPr>
        <w:t xml:space="preserve"> as a long-term funding instrument for the real economy and a crisis management tool in stress scenarios. To this end, the Steering Committee identified the following common areas</w:t>
      </w:r>
      <w:r w:rsidR="005A3EF7" w:rsidRPr="00A37FC8">
        <w:rPr>
          <w:rFonts w:asciiTheme="majorHAnsi" w:hAnsiTheme="majorHAnsi" w:cstheme="majorHAnsi"/>
          <w:sz w:val="20"/>
          <w:szCs w:val="22"/>
          <w:lang w:val="en-GB"/>
        </w:rPr>
        <w:t>, which are deemed to be the most critically important</w:t>
      </w:r>
      <w:r w:rsidR="000A076A" w:rsidRPr="00A37FC8">
        <w:rPr>
          <w:rFonts w:asciiTheme="majorHAnsi" w:hAnsiTheme="majorHAnsi" w:cstheme="majorHAnsi"/>
          <w:sz w:val="20"/>
          <w:szCs w:val="22"/>
          <w:lang w:val="en-GB"/>
        </w:rPr>
        <w:t xml:space="preserve"> to the covered bond industry:</w:t>
      </w:r>
    </w:p>
    <w:p w:rsidR="000A076A" w:rsidRPr="00A37FC8" w:rsidRDefault="000A076A" w:rsidP="004C51E5">
      <w:pPr>
        <w:jc w:val="both"/>
        <w:rPr>
          <w:rFonts w:asciiTheme="majorHAnsi" w:hAnsiTheme="majorHAnsi" w:cstheme="majorHAnsi"/>
          <w:sz w:val="20"/>
          <w:szCs w:val="22"/>
          <w:lang w:val="en-GB"/>
        </w:rPr>
      </w:pPr>
    </w:p>
    <w:p w:rsidR="0055168F" w:rsidRPr="00A37FC8" w:rsidRDefault="000A076A" w:rsidP="000A076A">
      <w:pPr>
        <w:pStyle w:val="ListParagraph"/>
        <w:numPr>
          <w:ilvl w:val="0"/>
          <w:numId w:val="27"/>
        </w:numPr>
        <w:jc w:val="both"/>
        <w:rPr>
          <w:rFonts w:asciiTheme="majorHAnsi" w:hAnsiTheme="majorHAnsi" w:cstheme="majorHAnsi"/>
          <w:sz w:val="20"/>
          <w:szCs w:val="22"/>
          <w:lang w:val="en-GB"/>
        </w:rPr>
      </w:pPr>
      <w:r w:rsidRPr="00A37FC8">
        <w:rPr>
          <w:rFonts w:asciiTheme="majorHAnsi" w:hAnsiTheme="majorHAnsi" w:cstheme="majorHAnsi"/>
          <w:b/>
          <w:sz w:val="20"/>
          <w:szCs w:val="22"/>
          <w:lang w:val="en-GB"/>
        </w:rPr>
        <w:t>Directive scope/asset eligibility (Art</w:t>
      </w:r>
      <w:r w:rsidR="0055168F" w:rsidRPr="00A37FC8">
        <w:rPr>
          <w:rFonts w:asciiTheme="majorHAnsi" w:hAnsiTheme="majorHAnsi" w:cstheme="majorHAnsi"/>
          <w:b/>
          <w:sz w:val="20"/>
          <w:szCs w:val="22"/>
          <w:lang w:val="en-GB"/>
        </w:rPr>
        <w:t>. 6</w:t>
      </w:r>
      <w:r w:rsidRPr="00A37FC8">
        <w:rPr>
          <w:rFonts w:asciiTheme="majorHAnsi" w:hAnsiTheme="majorHAnsi" w:cstheme="majorHAnsi"/>
          <w:b/>
          <w:sz w:val="20"/>
          <w:szCs w:val="22"/>
          <w:lang w:val="en-GB"/>
        </w:rPr>
        <w:t>)</w:t>
      </w:r>
      <w:r w:rsidR="00C125DC" w:rsidRPr="00A37FC8">
        <w:rPr>
          <w:rFonts w:asciiTheme="majorHAnsi" w:hAnsiTheme="majorHAnsi" w:cstheme="majorHAnsi"/>
          <w:b/>
          <w:sz w:val="20"/>
          <w:szCs w:val="22"/>
          <w:lang w:val="en-GB"/>
        </w:rPr>
        <w:t>:</w:t>
      </w:r>
      <w:r w:rsidR="00A26048" w:rsidRPr="00A37FC8">
        <w:rPr>
          <w:rFonts w:asciiTheme="majorHAnsi" w:hAnsiTheme="majorHAnsi" w:cstheme="majorHAnsi"/>
          <w:sz w:val="20"/>
          <w:szCs w:val="22"/>
          <w:lang w:val="en-GB"/>
        </w:rPr>
        <w:t xml:space="preserve"> The ECBC </w:t>
      </w:r>
      <w:r w:rsidR="0055168F" w:rsidRPr="00A37FC8">
        <w:rPr>
          <w:rFonts w:asciiTheme="majorHAnsi" w:hAnsiTheme="majorHAnsi" w:cstheme="majorHAnsi"/>
          <w:sz w:val="20"/>
          <w:szCs w:val="22"/>
          <w:lang w:val="en-GB"/>
        </w:rPr>
        <w:t>is</w:t>
      </w:r>
      <w:r w:rsidR="00A26048" w:rsidRPr="00A37FC8">
        <w:rPr>
          <w:rFonts w:asciiTheme="majorHAnsi" w:hAnsiTheme="majorHAnsi" w:cstheme="majorHAnsi"/>
          <w:sz w:val="20"/>
          <w:szCs w:val="22"/>
          <w:lang w:val="en-GB"/>
        </w:rPr>
        <w:t xml:space="preserve"> concern</w:t>
      </w:r>
      <w:r w:rsidR="0055168F" w:rsidRPr="00A37FC8">
        <w:rPr>
          <w:rFonts w:asciiTheme="majorHAnsi" w:hAnsiTheme="majorHAnsi" w:cstheme="majorHAnsi"/>
          <w:sz w:val="20"/>
          <w:szCs w:val="22"/>
          <w:lang w:val="en-GB"/>
        </w:rPr>
        <w:t>ed</w:t>
      </w:r>
      <w:r w:rsidR="00591635" w:rsidRPr="00A37FC8">
        <w:rPr>
          <w:rFonts w:asciiTheme="majorHAnsi" w:hAnsiTheme="majorHAnsi" w:cstheme="majorHAnsi"/>
          <w:sz w:val="20"/>
          <w:szCs w:val="22"/>
          <w:lang w:val="en-GB"/>
        </w:rPr>
        <w:t xml:space="preserve"> about the potential</w:t>
      </w:r>
      <w:r w:rsidR="00A26048" w:rsidRPr="00A37FC8">
        <w:rPr>
          <w:rFonts w:asciiTheme="majorHAnsi" w:hAnsiTheme="majorHAnsi" w:cstheme="majorHAnsi"/>
          <w:sz w:val="20"/>
          <w:szCs w:val="22"/>
          <w:lang w:val="en-GB"/>
        </w:rPr>
        <w:t xml:space="preserve"> watering-down of the quality of the covered</w:t>
      </w:r>
      <w:r w:rsidR="00591635" w:rsidRPr="00A37FC8">
        <w:rPr>
          <w:rFonts w:asciiTheme="majorHAnsi" w:hAnsiTheme="majorHAnsi" w:cstheme="majorHAnsi"/>
          <w:sz w:val="20"/>
          <w:szCs w:val="22"/>
          <w:lang w:val="en-GB"/>
        </w:rPr>
        <w:t xml:space="preserve"> bond asset class and the </w:t>
      </w:r>
      <w:r w:rsidR="00A26048" w:rsidRPr="00A37FC8">
        <w:rPr>
          <w:rFonts w:asciiTheme="majorHAnsi" w:hAnsiTheme="majorHAnsi" w:cstheme="majorHAnsi"/>
          <w:sz w:val="20"/>
          <w:szCs w:val="22"/>
          <w:lang w:val="en-GB"/>
        </w:rPr>
        <w:t>risk</w:t>
      </w:r>
      <w:r w:rsidR="00FA4BBC" w:rsidRPr="00A37FC8">
        <w:rPr>
          <w:rFonts w:asciiTheme="majorHAnsi" w:hAnsiTheme="majorHAnsi" w:cstheme="majorHAnsi"/>
          <w:sz w:val="20"/>
          <w:szCs w:val="22"/>
          <w:lang w:val="en-GB"/>
        </w:rPr>
        <w:t xml:space="preserve"> </w:t>
      </w:r>
      <w:r w:rsidR="00591635" w:rsidRPr="00A37FC8">
        <w:rPr>
          <w:rFonts w:asciiTheme="majorHAnsi" w:hAnsiTheme="majorHAnsi" w:cstheme="majorHAnsi"/>
          <w:sz w:val="20"/>
          <w:szCs w:val="22"/>
          <w:lang w:val="en-GB"/>
        </w:rPr>
        <w:t xml:space="preserve">of contagion </w:t>
      </w:r>
      <w:r w:rsidR="00FA4BBC" w:rsidRPr="00A37FC8">
        <w:rPr>
          <w:rFonts w:asciiTheme="majorHAnsi" w:hAnsiTheme="majorHAnsi" w:cstheme="majorHAnsi"/>
          <w:sz w:val="20"/>
          <w:szCs w:val="22"/>
          <w:lang w:val="en-GB"/>
        </w:rPr>
        <w:t>which could result from</w:t>
      </w:r>
      <w:r w:rsidR="00A26048" w:rsidRPr="00A37FC8">
        <w:rPr>
          <w:rFonts w:asciiTheme="majorHAnsi" w:hAnsiTheme="majorHAnsi" w:cstheme="majorHAnsi"/>
          <w:sz w:val="20"/>
          <w:szCs w:val="22"/>
          <w:lang w:val="en-GB"/>
        </w:rPr>
        <w:t xml:space="preserve"> the proposed t</w:t>
      </w:r>
      <w:r w:rsidR="005A3EF7" w:rsidRPr="00A37FC8">
        <w:rPr>
          <w:rFonts w:asciiTheme="majorHAnsi" w:hAnsiTheme="majorHAnsi" w:cstheme="majorHAnsi"/>
          <w:sz w:val="20"/>
          <w:szCs w:val="22"/>
          <w:lang w:val="en-GB"/>
        </w:rPr>
        <w:t>wo-tier classification</w:t>
      </w:r>
      <w:r w:rsidR="00A26048" w:rsidRPr="00A37FC8">
        <w:rPr>
          <w:rFonts w:asciiTheme="majorHAnsi" w:hAnsiTheme="majorHAnsi" w:cstheme="majorHAnsi"/>
          <w:sz w:val="20"/>
          <w:szCs w:val="22"/>
          <w:lang w:val="en-GB"/>
        </w:rPr>
        <w:t xml:space="preserve">. A careful balance must be struck to safeguard the perimeter of traditional (CRR &amp; UCITS compliant) covered bonds, whilst </w:t>
      </w:r>
      <w:r w:rsidR="0055168F" w:rsidRPr="00A37FC8">
        <w:rPr>
          <w:rFonts w:asciiTheme="majorHAnsi" w:hAnsiTheme="majorHAnsi" w:cstheme="majorHAnsi"/>
          <w:sz w:val="20"/>
          <w:szCs w:val="22"/>
          <w:lang w:val="en-GB"/>
        </w:rPr>
        <w:t>recognising non-</w:t>
      </w:r>
      <w:r w:rsidR="00A26048" w:rsidRPr="00A37FC8">
        <w:rPr>
          <w:rFonts w:asciiTheme="majorHAnsi" w:hAnsiTheme="majorHAnsi" w:cstheme="majorHAnsi"/>
          <w:sz w:val="20"/>
          <w:szCs w:val="22"/>
          <w:lang w:val="en-GB"/>
        </w:rPr>
        <w:t>traditional asset</w:t>
      </w:r>
      <w:r w:rsidR="0055168F" w:rsidRPr="00A37FC8">
        <w:rPr>
          <w:rFonts w:asciiTheme="majorHAnsi" w:hAnsiTheme="majorHAnsi" w:cstheme="majorHAnsi"/>
          <w:sz w:val="20"/>
          <w:szCs w:val="22"/>
          <w:lang w:val="en-GB"/>
        </w:rPr>
        <w:t xml:space="preserve"> classes, </w:t>
      </w:r>
      <w:r w:rsidR="00591635" w:rsidRPr="00A37FC8">
        <w:rPr>
          <w:rFonts w:asciiTheme="majorHAnsi" w:hAnsiTheme="majorHAnsi" w:cstheme="majorHAnsi"/>
          <w:sz w:val="20"/>
          <w:szCs w:val="22"/>
          <w:lang w:val="en-GB"/>
        </w:rPr>
        <w:t>beyond</w:t>
      </w:r>
      <w:r w:rsidR="0055168F" w:rsidRPr="00A37FC8">
        <w:rPr>
          <w:rFonts w:asciiTheme="majorHAnsi" w:hAnsiTheme="majorHAnsi" w:cstheme="majorHAnsi"/>
          <w:sz w:val="20"/>
          <w:szCs w:val="22"/>
          <w:lang w:val="en-GB"/>
        </w:rPr>
        <w:t xml:space="preserve"> the traditional perimeter, i.e. European Secured Notes (ESN). Furthermore, the </w:t>
      </w:r>
      <w:r w:rsidR="00591635" w:rsidRPr="00A37FC8">
        <w:rPr>
          <w:rFonts w:asciiTheme="majorHAnsi" w:hAnsiTheme="majorHAnsi" w:cstheme="majorHAnsi"/>
          <w:sz w:val="20"/>
          <w:szCs w:val="22"/>
          <w:lang w:val="en-GB"/>
        </w:rPr>
        <w:t>name “</w:t>
      </w:r>
      <w:r w:rsidR="0055168F" w:rsidRPr="00A37FC8">
        <w:rPr>
          <w:rFonts w:asciiTheme="majorHAnsi" w:hAnsiTheme="majorHAnsi" w:cstheme="majorHAnsi"/>
          <w:sz w:val="20"/>
          <w:szCs w:val="22"/>
          <w:lang w:val="en-GB"/>
        </w:rPr>
        <w:t>Ordinary</w:t>
      </w:r>
      <w:r w:rsidR="00591635" w:rsidRPr="00A37FC8">
        <w:rPr>
          <w:rFonts w:asciiTheme="majorHAnsi" w:hAnsiTheme="majorHAnsi" w:cstheme="majorHAnsi"/>
          <w:sz w:val="20"/>
          <w:szCs w:val="22"/>
          <w:lang w:val="en-GB"/>
        </w:rPr>
        <w:t>”</w:t>
      </w:r>
      <w:r w:rsidR="0055168F" w:rsidRPr="00A37FC8">
        <w:rPr>
          <w:rFonts w:asciiTheme="majorHAnsi" w:hAnsiTheme="majorHAnsi" w:cstheme="majorHAnsi"/>
          <w:sz w:val="20"/>
          <w:szCs w:val="22"/>
          <w:lang w:val="en-GB"/>
        </w:rPr>
        <w:t xml:space="preserve"> </w:t>
      </w:r>
      <w:r w:rsidR="00591635" w:rsidRPr="00A37FC8">
        <w:rPr>
          <w:rFonts w:asciiTheme="majorHAnsi" w:hAnsiTheme="majorHAnsi" w:cstheme="majorHAnsi"/>
          <w:sz w:val="20"/>
          <w:szCs w:val="22"/>
          <w:lang w:val="en-GB"/>
        </w:rPr>
        <w:t>Covered Bonds is</w:t>
      </w:r>
      <w:r w:rsidR="0055168F" w:rsidRPr="00A37FC8">
        <w:rPr>
          <w:rFonts w:asciiTheme="majorHAnsi" w:hAnsiTheme="majorHAnsi" w:cstheme="majorHAnsi"/>
          <w:sz w:val="20"/>
          <w:szCs w:val="22"/>
          <w:lang w:val="en-GB"/>
        </w:rPr>
        <w:t xml:space="preserve"> </w:t>
      </w:r>
      <w:r w:rsidR="00591635" w:rsidRPr="00A37FC8">
        <w:rPr>
          <w:rFonts w:asciiTheme="majorHAnsi" w:hAnsiTheme="majorHAnsi" w:cstheme="majorHAnsi"/>
          <w:sz w:val="20"/>
          <w:szCs w:val="22"/>
          <w:lang w:val="en-GB"/>
        </w:rPr>
        <w:t>considered</w:t>
      </w:r>
      <w:r w:rsidR="0055168F" w:rsidRPr="00A37FC8">
        <w:rPr>
          <w:rFonts w:asciiTheme="majorHAnsi" w:hAnsiTheme="majorHAnsi" w:cstheme="majorHAnsi"/>
          <w:sz w:val="20"/>
          <w:szCs w:val="22"/>
          <w:lang w:val="en-GB"/>
        </w:rPr>
        <w:t xml:space="preserve"> inappropriate</w:t>
      </w:r>
      <w:r w:rsidR="00591635" w:rsidRPr="00A37FC8">
        <w:rPr>
          <w:rFonts w:asciiTheme="majorHAnsi" w:hAnsiTheme="majorHAnsi" w:cstheme="majorHAnsi"/>
          <w:sz w:val="20"/>
          <w:szCs w:val="22"/>
          <w:lang w:val="en-GB"/>
        </w:rPr>
        <w:t xml:space="preserve"> and potentially confusing</w:t>
      </w:r>
      <w:r w:rsidR="0055168F" w:rsidRPr="00A37FC8">
        <w:rPr>
          <w:rFonts w:asciiTheme="majorHAnsi" w:hAnsiTheme="majorHAnsi" w:cstheme="majorHAnsi"/>
          <w:sz w:val="20"/>
          <w:szCs w:val="22"/>
          <w:lang w:val="en-GB"/>
        </w:rPr>
        <w:t>.</w:t>
      </w:r>
    </w:p>
    <w:p w:rsidR="0055168F" w:rsidRPr="00A37FC8" w:rsidRDefault="0055168F" w:rsidP="0055168F">
      <w:pPr>
        <w:pStyle w:val="ListParagraph"/>
        <w:ind w:left="360"/>
        <w:jc w:val="both"/>
        <w:rPr>
          <w:rFonts w:asciiTheme="majorHAnsi" w:hAnsiTheme="majorHAnsi" w:cstheme="majorHAnsi"/>
          <w:sz w:val="20"/>
          <w:szCs w:val="22"/>
          <w:lang w:val="en-GB"/>
        </w:rPr>
      </w:pPr>
    </w:p>
    <w:p w:rsidR="004E1600" w:rsidRPr="001D3D2B" w:rsidRDefault="0055168F" w:rsidP="001D3D2B">
      <w:pPr>
        <w:pStyle w:val="ListParagraph"/>
        <w:numPr>
          <w:ilvl w:val="0"/>
          <w:numId w:val="27"/>
        </w:numPr>
        <w:ind w:left="357" w:hanging="357"/>
        <w:jc w:val="both"/>
        <w:rPr>
          <w:rFonts w:asciiTheme="majorHAnsi" w:hAnsiTheme="majorHAnsi" w:cstheme="majorHAnsi"/>
          <w:sz w:val="20"/>
          <w:szCs w:val="22"/>
          <w:lang w:val="en-GB"/>
        </w:rPr>
      </w:pPr>
      <w:r w:rsidRPr="00A37FC8">
        <w:rPr>
          <w:rFonts w:asciiTheme="majorHAnsi" w:hAnsiTheme="majorHAnsi" w:cstheme="majorHAnsi"/>
          <w:b/>
          <w:sz w:val="20"/>
          <w:szCs w:val="22"/>
          <w:lang w:val="en-GB"/>
        </w:rPr>
        <w:t>Derivatives (Art</w:t>
      </w:r>
      <w:r w:rsidR="001D3D2B">
        <w:rPr>
          <w:rFonts w:asciiTheme="majorHAnsi" w:hAnsiTheme="majorHAnsi" w:cstheme="majorHAnsi"/>
          <w:b/>
          <w:sz w:val="20"/>
          <w:szCs w:val="22"/>
          <w:lang w:val="en-GB"/>
        </w:rPr>
        <w:t>s</w:t>
      </w:r>
      <w:r w:rsidRPr="00A37FC8">
        <w:rPr>
          <w:rFonts w:asciiTheme="majorHAnsi" w:hAnsiTheme="majorHAnsi" w:cstheme="majorHAnsi"/>
          <w:b/>
          <w:sz w:val="20"/>
          <w:szCs w:val="22"/>
          <w:lang w:val="en-GB"/>
        </w:rPr>
        <w:t xml:space="preserve">. 11 &amp; 15): </w:t>
      </w:r>
      <w:r w:rsidR="001D3D2B" w:rsidRPr="001D3D2B">
        <w:rPr>
          <w:rFonts w:asciiTheme="majorHAnsi" w:hAnsiTheme="majorHAnsi" w:cstheme="majorHAnsi"/>
          <w:sz w:val="20"/>
          <w:szCs w:val="22"/>
          <w:lang w:val="en-GB"/>
        </w:rPr>
        <w:t xml:space="preserve">The ECBC would like to reiterate the importance of </w:t>
      </w:r>
      <w:r w:rsidR="001D3D2B">
        <w:rPr>
          <w:rFonts w:asciiTheme="majorHAnsi" w:hAnsiTheme="majorHAnsi" w:cstheme="majorHAnsi"/>
          <w:sz w:val="20"/>
          <w:szCs w:val="22"/>
          <w:lang w:val="en-GB"/>
        </w:rPr>
        <w:t xml:space="preserve">derivatives to mitigate </w:t>
      </w:r>
      <w:r w:rsidR="001D3D2B" w:rsidRPr="001D3D2B">
        <w:rPr>
          <w:rFonts w:asciiTheme="majorHAnsi" w:hAnsiTheme="majorHAnsi" w:cstheme="majorHAnsi"/>
          <w:sz w:val="20"/>
          <w:szCs w:val="22"/>
          <w:lang w:val="en-GB"/>
        </w:rPr>
        <w:t xml:space="preserve">currency and interest rate risk. The proposals to essentially limit the use of this instrument to counter parties with minimum </w:t>
      </w:r>
      <w:r w:rsidR="001D3D2B">
        <w:rPr>
          <w:rFonts w:asciiTheme="majorHAnsi" w:hAnsiTheme="majorHAnsi" w:cstheme="majorHAnsi"/>
          <w:sz w:val="20"/>
          <w:szCs w:val="22"/>
          <w:lang w:val="en-GB"/>
        </w:rPr>
        <w:t>c</w:t>
      </w:r>
      <w:r w:rsidR="001D3D2B" w:rsidRPr="001D3D2B">
        <w:rPr>
          <w:rFonts w:asciiTheme="majorHAnsi" w:hAnsiTheme="majorHAnsi" w:cstheme="majorHAnsi"/>
          <w:sz w:val="20"/>
          <w:szCs w:val="22"/>
          <w:lang w:val="en-GB"/>
        </w:rPr>
        <w:t xml:space="preserve">redit </w:t>
      </w:r>
      <w:r w:rsidR="001D3D2B">
        <w:rPr>
          <w:rFonts w:asciiTheme="majorHAnsi" w:hAnsiTheme="majorHAnsi" w:cstheme="majorHAnsi"/>
          <w:sz w:val="20"/>
          <w:szCs w:val="22"/>
          <w:lang w:val="en-GB"/>
        </w:rPr>
        <w:t>q</w:t>
      </w:r>
      <w:r w:rsidR="001D3D2B" w:rsidRPr="001D3D2B">
        <w:rPr>
          <w:rFonts w:asciiTheme="majorHAnsi" w:hAnsiTheme="majorHAnsi" w:cstheme="majorHAnsi"/>
          <w:sz w:val="20"/>
          <w:szCs w:val="22"/>
          <w:lang w:val="en-GB"/>
        </w:rPr>
        <w:t>uality </w:t>
      </w:r>
      <w:r w:rsidR="001D3D2B">
        <w:rPr>
          <w:rFonts w:asciiTheme="majorHAnsi" w:hAnsiTheme="majorHAnsi" w:cstheme="majorHAnsi"/>
          <w:sz w:val="20"/>
          <w:szCs w:val="22"/>
          <w:lang w:val="en-GB"/>
        </w:rPr>
        <w:t>step 1 r</w:t>
      </w:r>
      <w:r w:rsidR="001D3D2B" w:rsidRPr="001D3D2B">
        <w:rPr>
          <w:rFonts w:asciiTheme="majorHAnsi" w:hAnsiTheme="majorHAnsi" w:cstheme="majorHAnsi"/>
          <w:sz w:val="20"/>
          <w:szCs w:val="22"/>
          <w:lang w:val="en-GB"/>
        </w:rPr>
        <w:t xml:space="preserve">ating could have serious implications in the event of a stress scenario as there would be </w:t>
      </w:r>
      <w:r w:rsidR="001D3D2B">
        <w:rPr>
          <w:rFonts w:asciiTheme="majorHAnsi" w:hAnsiTheme="majorHAnsi" w:cstheme="majorHAnsi"/>
          <w:sz w:val="20"/>
          <w:szCs w:val="22"/>
          <w:lang w:val="en-GB"/>
        </w:rPr>
        <w:t>fewer</w:t>
      </w:r>
      <w:r w:rsidR="001D3D2B" w:rsidRPr="001D3D2B">
        <w:rPr>
          <w:rFonts w:asciiTheme="majorHAnsi" w:hAnsiTheme="majorHAnsi" w:cstheme="majorHAnsi"/>
          <w:sz w:val="20"/>
          <w:szCs w:val="22"/>
          <w:lang w:val="en-GB"/>
        </w:rPr>
        <w:t xml:space="preserve"> eligible counter parties available which could have a negative effect </w:t>
      </w:r>
      <w:r w:rsidR="001D3D2B">
        <w:rPr>
          <w:rFonts w:asciiTheme="majorHAnsi" w:hAnsiTheme="majorHAnsi" w:cstheme="majorHAnsi"/>
          <w:sz w:val="20"/>
          <w:szCs w:val="22"/>
          <w:lang w:val="en-GB"/>
        </w:rPr>
        <w:t>and increase risk for investors.</w:t>
      </w:r>
    </w:p>
    <w:p w:rsidR="004E1600" w:rsidRPr="00A37FC8" w:rsidRDefault="004E1600" w:rsidP="004E1600">
      <w:pPr>
        <w:pStyle w:val="ListParagraph"/>
        <w:rPr>
          <w:rFonts w:asciiTheme="majorHAnsi" w:hAnsiTheme="majorHAnsi" w:cstheme="majorHAnsi"/>
          <w:sz w:val="20"/>
          <w:szCs w:val="22"/>
          <w:lang w:val="en-GB"/>
        </w:rPr>
      </w:pPr>
    </w:p>
    <w:p w:rsidR="004E1600" w:rsidRPr="00A37FC8" w:rsidRDefault="000261CA" w:rsidP="004E1600">
      <w:pPr>
        <w:pStyle w:val="ListParagraph"/>
        <w:numPr>
          <w:ilvl w:val="0"/>
          <w:numId w:val="27"/>
        </w:numPr>
        <w:jc w:val="both"/>
        <w:rPr>
          <w:rFonts w:asciiTheme="majorHAnsi" w:hAnsiTheme="majorHAnsi" w:cstheme="majorHAnsi"/>
          <w:sz w:val="20"/>
          <w:szCs w:val="22"/>
          <w:lang w:val="en-GB"/>
        </w:rPr>
      </w:pPr>
      <w:r>
        <w:rPr>
          <w:rFonts w:asciiTheme="majorHAnsi" w:hAnsiTheme="majorHAnsi" w:cstheme="majorHAnsi"/>
          <w:b/>
          <w:sz w:val="20"/>
          <w:szCs w:val="22"/>
          <w:lang w:val="en-GB"/>
        </w:rPr>
        <w:t>Extendable Maturities (Art. 17</w:t>
      </w:r>
      <w:bookmarkStart w:id="0" w:name="_GoBack"/>
      <w:bookmarkEnd w:id="0"/>
      <w:r w:rsidR="004E1600" w:rsidRPr="00A37FC8">
        <w:rPr>
          <w:rFonts w:asciiTheme="majorHAnsi" w:hAnsiTheme="majorHAnsi" w:cstheme="majorHAnsi"/>
          <w:b/>
          <w:sz w:val="20"/>
          <w:szCs w:val="22"/>
          <w:lang w:val="en-GB"/>
        </w:rPr>
        <w:t>):</w:t>
      </w:r>
      <w:r w:rsidR="004E1600" w:rsidRPr="00A37FC8">
        <w:rPr>
          <w:rFonts w:asciiTheme="majorHAnsi" w:hAnsiTheme="majorHAnsi" w:cstheme="majorHAnsi"/>
          <w:sz w:val="20"/>
          <w:szCs w:val="22"/>
          <w:lang w:val="en-GB"/>
        </w:rPr>
        <w:t xml:space="preserve"> </w:t>
      </w:r>
      <w:r w:rsidR="004E1600" w:rsidRPr="00A37FC8">
        <w:rPr>
          <w:rFonts w:asciiTheme="majorHAnsi" w:hAnsiTheme="majorHAnsi" w:cstheme="majorHAnsi"/>
          <w:sz w:val="20"/>
          <w:szCs w:val="20"/>
          <w:lang w:val="en-GB"/>
        </w:rPr>
        <w:t>The ECBC is greatly concerned about the proposed risk weight differential for extendable maturity covered bonds, which will distort an otherwise well-functioning and well-accepted segment of covered bond market</w:t>
      </w:r>
      <w:r w:rsidR="00CD04A8">
        <w:rPr>
          <w:rFonts w:asciiTheme="majorHAnsi" w:hAnsiTheme="majorHAnsi" w:cstheme="majorHAnsi"/>
          <w:sz w:val="20"/>
          <w:szCs w:val="20"/>
          <w:lang w:val="en-GB"/>
        </w:rPr>
        <w:t>s</w:t>
      </w:r>
      <w:r w:rsidR="004E1600" w:rsidRPr="00A37FC8">
        <w:rPr>
          <w:rFonts w:asciiTheme="majorHAnsi" w:hAnsiTheme="majorHAnsi" w:cstheme="majorHAnsi"/>
          <w:sz w:val="20"/>
          <w:szCs w:val="20"/>
          <w:lang w:val="en-GB"/>
        </w:rPr>
        <w:t>. The ECBC is continuing its commitment to define market best practice in this area.</w:t>
      </w:r>
    </w:p>
    <w:p w:rsidR="004E1600" w:rsidRPr="00A37FC8" w:rsidRDefault="004E1600" w:rsidP="004E1600">
      <w:pPr>
        <w:pStyle w:val="ListParagraph"/>
        <w:rPr>
          <w:rFonts w:asciiTheme="majorHAnsi" w:hAnsiTheme="majorHAnsi" w:cstheme="majorHAnsi"/>
          <w:sz w:val="20"/>
          <w:szCs w:val="22"/>
          <w:lang w:val="en-GB"/>
        </w:rPr>
      </w:pPr>
    </w:p>
    <w:p w:rsidR="004E1600" w:rsidRPr="00A37FC8" w:rsidRDefault="004E1600" w:rsidP="004E1600">
      <w:pPr>
        <w:pStyle w:val="ListParagraph"/>
        <w:numPr>
          <w:ilvl w:val="0"/>
          <w:numId w:val="27"/>
        </w:numPr>
        <w:jc w:val="both"/>
        <w:rPr>
          <w:rFonts w:asciiTheme="majorHAnsi" w:hAnsiTheme="majorHAnsi" w:cstheme="majorHAnsi"/>
          <w:b/>
          <w:sz w:val="20"/>
          <w:szCs w:val="22"/>
          <w:lang w:val="en-GB"/>
        </w:rPr>
      </w:pPr>
      <w:r w:rsidRPr="00A37FC8">
        <w:rPr>
          <w:rFonts w:asciiTheme="majorHAnsi" w:hAnsiTheme="majorHAnsi" w:cstheme="majorHAnsi"/>
          <w:b/>
          <w:sz w:val="20"/>
          <w:szCs w:val="22"/>
          <w:lang w:val="en-GB"/>
        </w:rPr>
        <w:t xml:space="preserve">Liquidity Buffer (Art. 16): </w:t>
      </w:r>
      <w:r w:rsidR="00FA4BBC" w:rsidRPr="00A37FC8">
        <w:rPr>
          <w:rFonts w:asciiTheme="majorHAnsi" w:hAnsiTheme="majorHAnsi" w:cstheme="majorHAnsi"/>
          <w:sz w:val="20"/>
          <w:szCs w:val="22"/>
          <w:lang w:val="en-GB"/>
        </w:rPr>
        <w:t xml:space="preserve">The ECBC recognises the efforts of the EU Institutions to avoid concerns about double-counting between the Liquidity Coverage Ratio (LCR) at bank level and the 180-day liquidity buffer in the cover pool. A potential solution to this issue could be determined at Member State level, according to national best practice. A future revision of the LCR would represent an opportunity for a more harmonised solution. </w:t>
      </w:r>
    </w:p>
    <w:p w:rsidR="005A3EF7" w:rsidRPr="00A37FC8" w:rsidRDefault="005A3EF7" w:rsidP="005A3EF7">
      <w:pPr>
        <w:jc w:val="both"/>
        <w:rPr>
          <w:rFonts w:asciiTheme="majorHAnsi" w:hAnsiTheme="majorHAnsi" w:cstheme="majorHAnsi"/>
          <w:b/>
          <w:sz w:val="20"/>
          <w:szCs w:val="22"/>
          <w:lang w:val="en-GB"/>
        </w:rPr>
      </w:pPr>
    </w:p>
    <w:p w:rsidR="000A076A" w:rsidRPr="0055168F" w:rsidRDefault="00FA4BBC" w:rsidP="0055168F">
      <w:pPr>
        <w:jc w:val="both"/>
        <w:rPr>
          <w:rFonts w:asciiTheme="majorHAnsi" w:hAnsiTheme="majorHAnsi" w:cstheme="majorHAnsi"/>
          <w:sz w:val="20"/>
          <w:szCs w:val="22"/>
          <w:lang w:val="en-GB"/>
        </w:rPr>
      </w:pPr>
      <w:r w:rsidRPr="00A37FC8">
        <w:rPr>
          <w:rFonts w:asciiTheme="majorHAnsi" w:hAnsiTheme="majorHAnsi" w:cstheme="majorHAnsi"/>
          <w:sz w:val="20"/>
          <w:szCs w:val="22"/>
          <w:lang w:val="en-GB"/>
        </w:rPr>
        <w:t>The ECBC invites the EU Institutions to carefully consider these common areas of concern and closely analyse the national priorities identified below.</w:t>
      </w:r>
    </w:p>
    <w:p w:rsidR="000A076A" w:rsidRPr="000A076A" w:rsidRDefault="000A076A" w:rsidP="000A076A">
      <w:pPr>
        <w:pStyle w:val="ListParagraph"/>
        <w:ind w:left="360"/>
        <w:jc w:val="both"/>
        <w:rPr>
          <w:lang w:val="en-GB"/>
        </w:rPr>
      </w:pPr>
    </w:p>
    <w:p w:rsidR="004C51E5" w:rsidRDefault="004C51E5" w:rsidP="004C51E5">
      <w:pPr>
        <w:tabs>
          <w:tab w:val="left" w:pos="426"/>
        </w:tabs>
        <w:ind w:right="140"/>
        <w:jc w:val="both"/>
        <w:rPr>
          <w:rFonts w:asciiTheme="majorHAnsi" w:hAnsiTheme="majorHAnsi" w:cstheme="majorHAnsi"/>
          <w:sz w:val="20"/>
          <w:szCs w:val="22"/>
          <w:lang w:val="en-GB"/>
        </w:rPr>
      </w:pPr>
    </w:p>
    <w:p w:rsidR="004C51E5" w:rsidRDefault="004C51E5" w:rsidP="0016291A">
      <w:pPr>
        <w:tabs>
          <w:tab w:val="left" w:pos="426"/>
        </w:tabs>
        <w:ind w:right="140"/>
        <w:jc w:val="both"/>
        <w:rPr>
          <w:rFonts w:asciiTheme="majorHAnsi" w:hAnsiTheme="majorHAnsi" w:cstheme="majorHAnsi"/>
          <w:sz w:val="20"/>
          <w:szCs w:val="22"/>
          <w:lang w:val="en-GB"/>
        </w:rPr>
      </w:pPr>
    </w:p>
    <w:p w:rsidR="00E26DAD" w:rsidRPr="00A42B3C" w:rsidRDefault="006A4A08" w:rsidP="002E1FE8">
      <w:pPr>
        <w:tabs>
          <w:tab w:val="left" w:pos="426"/>
        </w:tabs>
        <w:ind w:right="140"/>
        <w:jc w:val="center"/>
        <w:rPr>
          <w:rFonts w:asciiTheme="majorHAnsi" w:hAnsiTheme="majorHAnsi" w:cstheme="majorHAnsi"/>
          <w:sz w:val="20"/>
          <w:szCs w:val="22"/>
          <w:lang w:val="en-GB"/>
        </w:rPr>
      </w:pPr>
      <w:r>
        <w:rPr>
          <w:rFonts w:asciiTheme="majorHAnsi" w:hAnsiTheme="majorHAnsi" w:cstheme="majorHAnsi"/>
          <w:noProof/>
          <w:sz w:val="20"/>
          <w:szCs w:val="22"/>
          <w:lang w:val="en-GB"/>
        </w:rPr>
        <w:drawing>
          <wp:inline distT="0" distB="0" distL="0" distR="0" wp14:anchorId="0018B31D" wp14:editId="4E9C18A1">
            <wp:extent cx="4681855" cy="3712845"/>
            <wp:effectExtent l="0" t="0" r="444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1855" cy="3712845"/>
                    </a:xfrm>
                    <a:prstGeom prst="rect">
                      <a:avLst/>
                    </a:prstGeom>
                    <a:noFill/>
                  </pic:spPr>
                </pic:pic>
              </a:graphicData>
            </a:graphic>
          </wp:inline>
        </w:drawing>
      </w:r>
    </w:p>
    <w:p w:rsidR="009421C2" w:rsidRPr="00A42B3C" w:rsidRDefault="009421C2" w:rsidP="00B7304B">
      <w:pPr>
        <w:tabs>
          <w:tab w:val="left" w:pos="426"/>
        </w:tabs>
        <w:ind w:right="140"/>
        <w:jc w:val="both"/>
        <w:rPr>
          <w:rFonts w:asciiTheme="majorHAnsi" w:hAnsiTheme="majorHAnsi" w:cstheme="majorHAnsi"/>
          <w:sz w:val="20"/>
          <w:szCs w:val="22"/>
          <w:lang w:val="en-GB"/>
        </w:rPr>
      </w:pPr>
    </w:p>
    <w:p w:rsidR="00BD0D33" w:rsidRPr="00A42B3C" w:rsidRDefault="00BD0D33" w:rsidP="00B7304B">
      <w:pPr>
        <w:tabs>
          <w:tab w:val="left" w:pos="426"/>
        </w:tabs>
        <w:ind w:right="140"/>
        <w:jc w:val="both"/>
        <w:rPr>
          <w:rFonts w:asciiTheme="majorHAnsi" w:hAnsiTheme="majorHAnsi" w:cstheme="majorHAnsi"/>
          <w:sz w:val="20"/>
          <w:szCs w:val="22"/>
          <w:lang w:val="en-GB"/>
        </w:rPr>
      </w:pPr>
    </w:p>
    <w:p w:rsidR="00276AF3" w:rsidRPr="00A42B3C" w:rsidRDefault="00732C37" w:rsidP="00C2058B">
      <w:pPr>
        <w:tabs>
          <w:tab w:val="left" w:pos="426"/>
        </w:tabs>
        <w:ind w:right="140"/>
        <w:jc w:val="center"/>
        <w:rPr>
          <w:rFonts w:asciiTheme="majorHAnsi" w:hAnsiTheme="majorHAnsi" w:cstheme="majorHAnsi"/>
          <w:b/>
          <w:sz w:val="20"/>
          <w:szCs w:val="22"/>
          <w:lang w:val="en-GB"/>
        </w:rPr>
      </w:pPr>
      <w:r w:rsidRPr="00A42B3C">
        <w:rPr>
          <w:rFonts w:asciiTheme="majorHAnsi" w:hAnsiTheme="majorHAnsi" w:cstheme="majorHAnsi"/>
          <w:b/>
          <w:sz w:val="20"/>
          <w:szCs w:val="22"/>
          <w:lang w:val="en-GB"/>
        </w:rPr>
        <w:br w:type="column"/>
      </w:r>
      <w:r w:rsidR="006407EB">
        <w:rPr>
          <w:noProof/>
        </w:rPr>
        <w:lastRenderedPageBreak/>
        <w:drawing>
          <wp:inline distT="0" distB="0" distL="0" distR="0" wp14:anchorId="5569C210" wp14:editId="5546C4AA">
            <wp:extent cx="5253038" cy="2743200"/>
            <wp:effectExtent l="0" t="0" r="5080" b="0"/>
            <wp:docPr id="4" name="Chart 4">
              <a:extLst xmlns:a="http://schemas.openxmlformats.org/drawingml/2006/main">
                <a:ext uri="{FF2B5EF4-FFF2-40B4-BE49-F238E27FC236}">
                  <a16:creationId xmlns:a16="http://schemas.microsoft.com/office/drawing/2014/main" id="{D7745C90-B0FE-430C-8379-C990774400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2058B" w:rsidRDefault="00C2058B" w:rsidP="00B7304B">
      <w:pPr>
        <w:tabs>
          <w:tab w:val="left" w:pos="426"/>
        </w:tabs>
        <w:ind w:right="140"/>
        <w:jc w:val="both"/>
        <w:rPr>
          <w:rFonts w:asciiTheme="majorHAnsi" w:hAnsiTheme="majorHAnsi" w:cstheme="majorHAnsi"/>
          <w:sz w:val="20"/>
          <w:szCs w:val="22"/>
          <w:lang w:val="en-GB"/>
        </w:rPr>
      </w:pPr>
    </w:p>
    <w:p w:rsidR="009105B3" w:rsidRPr="00A42B3C" w:rsidRDefault="004B112D" w:rsidP="00B7304B">
      <w:pPr>
        <w:tabs>
          <w:tab w:val="left" w:pos="426"/>
        </w:tabs>
        <w:ind w:right="140"/>
        <w:jc w:val="both"/>
        <w:rPr>
          <w:rFonts w:asciiTheme="majorHAnsi" w:hAnsiTheme="majorHAnsi" w:cstheme="majorHAnsi"/>
          <w:sz w:val="20"/>
          <w:szCs w:val="22"/>
          <w:lang w:val="en-GB"/>
        </w:rPr>
      </w:pPr>
      <w:r w:rsidRPr="00A42B3C">
        <w:rPr>
          <w:rFonts w:asciiTheme="majorHAnsi" w:hAnsiTheme="majorHAnsi" w:cstheme="majorHAnsi"/>
          <w:sz w:val="20"/>
          <w:szCs w:val="22"/>
          <w:lang w:val="en-GB"/>
        </w:rPr>
        <w:t>The majority of conc</w:t>
      </w:r>
      <w:r w:rsidR="009105B3" w:rsidRPr="00A42B3C">
        <w:rPr>
          <w:rFonts w:asciiTheme="majorHAnsi" w:hAnsiTheme="majorHAnsi" w:cstheme="majorHAnsi"/>
          <w:sz w:val="20"/>
          <w:szCs w:val="22"/>
          <w:lang w:val="en-GB"/>
        </w:rPr>
        <w:t xml:space="preserve">erns expressed are around Art.6 – Eligible Assets, Art </w:t>
      </w:r>
      <w:r w:rsidR="00DD7D35" w:rsidRPr="00A42B3C">
        <w:rPr>
          <w:rFonts w:asciiTheme="majorHAnsi" w:hAnsiTheme="majorHAnsi" w:cstheme="majorHAnsi"/>
          <w:sz w:val="20"/>
          <w:szCs w:val="22"/>
          <w:lang w:val="en-GB"/>
        </w:rPr>
        <w:t>16. Requirements</w:t>
      </w:r>
      <w:r w:rsidR="009105B3" w:rsidRPr="00A42B3C">
        <w:rPr>
          <w:rFonts w:asciiTheme="majorHAnsi" w:hAnsiTheme="majorHAnsi" w:cstheme="majorHAnsi"/>
          <w:sz w:val="20"/>
          <w:szCs w:val="22"/>
          <w:lang w:val="en-GB"/>
        </w:rPr>
        <w:t xml:space="preserve"> for a cover pool buffer, and the amendment to CRR Art 129 par 1.</w:t>
      </w:r>
    </w:p>
    <w:p w:rsidR="009105B3" w:rsidRPr="00A42B3C" w:rsidRDefault="009105B3" w:rsidP="00B7304B">
      <w:pPr>
        <w:tabs>
          <w:tab w:val="left" w:pos="426"/>
        </w:tabs>
        <w:ind w:right="140"/>
        <w:jc w:val="both"/>
        <w:rPr>
          <w:rFonts w:asciiTheme="majorHAnsi" w:hAnsiTheme="majorHAnsi" w:cstheme="majorHAnsi"/>
          <w:b/>
          <w:sz w:val="20"/>
          <w:szCs w:val="22"/>
          <w:lang w:val="en-GB"/>
        </w:rPr>
      </w:pPr>
    </w:p>
    <w:p w:rsidR="005539F8" w:rsidRPr="00A42B3C" w:rsidRDefault="005539F8" w:rsidP="00B7304B">
      <w:pPr>
        <w:tabs>
          <w:tab w:val="left" w:pos="426"/>
        </w:tabs>
        <w:ind w:right="140"/>
        <w:jc w:val="both"/>
        <w:rPr>
          <w:rFonts w:asciiTheme="majorHAnsi" w:hAnsiTheme="majorHAnsi" w:cstheme="majorHAnsi"/>
          <w:b/>
          <w:sz w:val="20"/>
          <w:szCs w:val="22"/>
          <w:lang w:val="en-GB"/>
        </w:rPr>
      </w:pPr>
      <w:r w:rsidRPr="00A42B3C">
        <w:rPr>
          <w:rFonts w:asciiTheme="majorHAnsi" w:hAnsiTheme="majorHAnsi" w:cstheme="majorHAnsi"/>
          <w:b/>
          <w:sz w:val="20"/>
          <w:szCs w:val="22"/>
          <w:lang w:val="en-GB"/>
        </w:rPr>
        <w:t>Overview Table of Comments</w:t>
      </w:r>
    </w:p>
    <w:p w:rsidR="005539F8" w:rsidRPr="00A42B3C" w:rsidRDefault="005539F8" w:rsidP="00B7304B">
      <w:pPr>
        <w:tabs>
          <w:tab w:val="left" w:pos="426"/>
        </w:tabs>
        <w:ind w:right="140"/>
        <w:jc w:val="both"/>
        <w:rPr>
          <w:rFonts w:asciiTheme="majorHAnsi" w:hAnsiTheme="majorHAnsi" w:cstheme="majorHAnsi"/>
          <w:sz w:val="20"/>
          <w:szCs w:val="22"/>
          <w:lang w:val="en-GB"/>
        </w:rPr>
      </w:pPr>
    </w:p>
    <w:p w:rsidR="007644FB" w:rsidRPr="00A42B3C" w:rsidRDefault="007644FB" w:rsidP="00B7304B">
      <w:pPr>
        <w:tabs>
          <w:tab w:val="left" w:pos="426"/>
        </w:tabs>
        <w:ind w:right="140"/>
        <w:jc w:val="both"/>
        <w:rPr>
          <w:rFonts w:asciiTheme="majorHAnsi" w:hAnsiTheme="majorHAnsi" w:cstheme="majorHAnsi"/>
          <w:b/>
          <w:sz w:val="20"/>
          <w:szCs w:val="22"/>
          <w:lang w:val="en-GB"/>
        </w:rPr>
      </w:pPr>
      <w:r w:rsidRPr="00A42B3C">
        <w:rPr>
          <w:rFonts w:asciiTheme="majorHAnsi" w:hAnsiTheme="majorHAnsi" w:cstheme="majorHAnsi"/>
          <w:b/>
          <w:sz w:val="20"/>
          <w:szCs w:val="22"/>
          <w:lang w:val="en-GB"/>
        </w:rPr>
        <w:t>Directive</w:t>
      </w:r>
    </w:p>
    <w:tbl>
      <w:tblPr>
        <w:tblStyle w:val="TableGrid"/>
        <w:tblW w:w="0" w:type="auto"/>
        <w:tblBorders>
          <w:top w:val="single" w:sz="4" w:space="0" w:color="DE821B"/>
          <w:left w:val="single" w:sz="4" w:space="0" w:color="DE821B"/>
          <w:bottom w:val="single" w:sz="4" w:space="0" w:color="DE821B"/>
          <w:right w:val="single" w:sz="4" w:space="0" w:color="DE821B"/>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13"/>
        <w:gridCol w:w="4111"/>
        <w:gridCol w:w="4529"/>
      </w:tblGrid>
      <w:tr w:rsidR="005539F8" w:rsidRPr="006D55BB" w:rsidTr="005C1661">
        <w:tc>
          <w:tcPr>
            <w:tcW w:w="1413" w:type="dxa"/>
            <w:shd w:val="clear" w:color="auto" w:fill="DE821B"/>
          </w:tcPr>
          <w:p w:rsidR="005539F8" w:rsidRPr="006D55BB" w:rsidRDefault="005539F8" w:rsidP="00511392">
            <w:pPr>
              <w:tabs>
                <w:tab w:val="left" w:pos="426"/>
              </w:tabs>
              <w:ind w:right="140"/>
              <w:jc w:val="center"/>
              <w:rPr>
                <w:rFonts w:asciiTheme="majorHAnsi" w:hAnsiTheme="majorHAnsi" w:cstheme="majorHAnsi"/>
                <w:b/>
                <w:sz w:val="20"/>
                <w:szCs w:val="20"/>
                <w:lang w:val="en-GB"/>
              </w:rPr>
            </w:pPr>
            <w:r w:rsidRPr="006D55BB">
              <w:rPr>
                <w:rFonts w:asciiTheme="majorHAnsi" w:hAnsiTheme="majorHAnsi" w:cstheme="majorHAnsi"/>
                <w:b/>
                <w:color w:val="FFFFFF" w:themeColor="background1"/>
                <w:sz w:val="20"/>
                <w:szCs w:val="20"/>
                <w:lang w:val="en-GB"/>
              </w:rPr>
              <w:t>Where</w:t>
            </w:r>
          </w:p>
        </w:tc>
        <w:tc>
          <w:tcPr>
            <w:tcW w:w="4111" w:type="dxa"/>
            <w:shd w:val="clear" w:color="auto" w:fill="DE821B"/>
          </w:tcPr>
          <w:p w:rsidR="005539F8" w:rsidRPr="006D55BB" w:rsidRDefault="005539F8" w:rsidP="00511392">
            <w:pPr>
              <w:tabs>
                <w:tab w:val="left" w:pos="426"/>
              </w:tabs>
              <w:ind w:right="140"/>
              <w:jc w:val="center"/>
              <w:rPr>
                <w:rFonts w:asciiTheme="majorHAnsi" w:hAnsiTheme="majorHAnsi" w:cstheme="majorHAnsi"/>
                <w:b/>
                <w:color w:val="FFFFFF" w:themeColor="background1"/>
                <w:sz w:val="20"/>
                <w:szCs w:val="20"/>
                <w:lang w:val="en-GB"/>
              </w:rPr>
            </w:pPr>
            <w:r w:rsidRPr="006D55BB">
              <w:rPr>
                <w:rFonts w:asciiTheme="majorHAnsi" w:hAnsiTheme="majorHAnsi" w:cstheme="majorHAnsi"/>
                <w:b/>
                <w:color w:val="FFFFFF" w:themeColor="background1"/>
                <w:sz w:val="20"/>
                <w:szCs w:val="20"/>
                <w:lang w:val="en-GB"/>
              </w:rPr>
              <w:t>What</w:t>
            </w:r>
          </w:p>
        </w:tc>
        <w:tc>
          <w:tcPr>
            <w:tcW w:w="4529" w:type="dxa"/>
            <w:shd w:val="clear" w:color="auto" w:fill="DE821B"/>
          </w:tcPr>
          <w:p w:rsidR="005539F8" w:rsidRPr="006D55BB" w:rsidRDefault="005539F8" w:rsidP="00511392">
            <w:pPr>
              <w:tabs>
                <w:tab w:val="left" w:pos="426"/>
              </w:tabs>
              <w:ind w:right="140"/>
              <w:jc w:val="center"/>
              <w:rPr>
                <w:rFonts w:asciiTheme="majorHAnsi" w:hAnsiTheme="majorHAnsi" w:cstheme="majorHAnsi"/>
                <w:b/>
                <w:color w:val="FFFFFF" w:themeColor="background1"/>
                <w:sz w:val="20"/>
                <w:szCs w:val="20"/>
                <w:lang w:val="en-GB"/>
              </w:rPr>
            </w:pPr>
            <w:r w:rsidRPr="006D55BB">
              <w:rPr>
                <w:rFonts w:asciiTheme="majorHAnsi" w:hAnsiTheme="majorHAnsi" w:cstheme="majorHAnsi"/>
                <w:b/>
                <w:color w:val="FFFFFF" w:themeColor="background1"/>
                <w:sz w:val="20"/>
                <w:szCs w:val="20"/>
                <w:lang w:val="en-GB"/>
              </w:rPr>
              <w:t>Who commented</w:t>
            </w:r>
          </w:p>
        </w:tc>
      </w:tr>
      <w:tr w:rsidR="007644FB" w:rsidRPr="006D55BB" w:rsidTr="005C1661">
        <w:tc>
          <w:tcPr>
            <w:tcW w:w="1413" w:type="dxa"/>
          </w:tcPr>
          <w:p w:rsidR="007644FB" w:rsidRPr="006D55BB" w:rsidRDefault="007644FB" w:rsidP="00B7304B">
            <w:pPr>
              <w:tabs>
                <w:tab w:val="left" w:pos="426"/>
              </w:tabs>
              <w:ind w:right="140"/>
              <w:jc w:val="both"/>
              <w:rPr>
                <w:rFonts w:asciiTheme="majorHAnsi" w:hAnsiTheme="majorHAnsi" w:cstheme="majorHAnsi"/>
                <w:sz w:val="20"/>
                <w:szCs w:val="22"/>
                <w:lang w:val="en-GB"/>
              </w:rPr>
            </w:pPr>
            <w:r w:rsidRPr="006D55BB">
              <w:rPr>
                <w:rFonts w:asciiTheme="majorHAnsi" w:hAnsiTheme="majorHAnsi" w:cstheme="majorHAnsi"/>
                <w:sz w:val="20"/>
                <w:szCs w:val="22"/>
                <w:lang w:val="en-GB"/>
              </w:rPr>
              <w:t>Recital 15</w:t>
            </w:r>
          </w:p>
        </w:tc>
        <w:tc>
          <w:tcPr>
            <w:tcW w:w="4111" w:type="dxa"/>
          </w:tcPr>
          <w:p w:rsidR="007644FB" w:rsidRPr="006D55BB" w:rsidRDefault="00956083" w:rsidP="00B7304B">
            <w:pPr>
              <w:tabs>
                <w:tab w:val="left" w:pos="426"/>
              </w:tabs>
              <w:ind w:right="140"/>
              <w:jc w:val="both"/>
              <w:rPr>
                <w:rFonts w:asciiTheme="majorHAnsi" w:hAnsiTheme="majorHAnsi" w:cstheme="majorHAnsi"/>
                <w:sz w:val="20"/>
                <w:szCs w:val="22"/>
                <w:lang w:val="en-GB"/>
              </w:rPr>
            </w:pPr>
            <w:r w:rsidRPr="006D55BB">
              <w:rPr>
                <w:rFonts w:asciiTheme="majorHAnsi" w:hAnsiTheme="majorHAnsi" w:cstheme="majorHAnsi"/>
                <w:sz w:val="20"/>
                <w:szCs w:val="22"/>
                <w:lang w:val="en-GB"/>
              </w:rPr>
              <w:t>Eligible assets</w:t>
            </w:r>
          </w:p>
        </w:tc>
        <w:tc>
          <w:tcPr>
            <w:tcW w:w="4529" w:type="dxa"/>
          </w:tcPr>
          <w:p w:rsidR="007644FB" w:rsidRPr="006D55BB" w:rsidRDefault="00DD4D8C" w:rsidP="00B7304B">
            <w:pPr>
              <w:tabs>
                <w:tab w:val="left" w:pos="426"/>
              </w:tabs>
              <w:ind w:right="140"/>
              <w:jc w:val="both"/>
              <w:rPr>
                <w:rFonts w:asciiTheme="majorHAnsi" w:hAnsiTheme="majorHAnsi" w:cstheme="majorHAnsi"/>
                <w:sz w:val="20"/>
                <w:szCs w:val="22"/>
                <w:lang w:val="en-GB"/>
              </w:rPr>
            </w:pPr>
            <w:hyperlink w:anchor="_Luxembourg" w:history="1">
              <w:r w:rsidR="0062363C" w:rsidRPr="006D55BB">
                <w:rPr>
                  <w:rStyle w:val="Hyperlink"/>
                  <w:rFonts w:asciiTheme="majorHAnsi" w:hAnsiTheme="majorHAnsi" w:cstheme="majorHAnsi"/>
                  <w:sz w:val="20"/>
                  <w:szCs w:val="22"/>
                  <w:lang w:val="en-GB"/>
                </w:rPr>
                <w:t>Luxembourg</w:t>
              </w:r>
            </w:hyperlink>
          </w:p>
        </w:tc>
      </w:tr>
      <w:tr w:rsidR="007644FB" w:rsidRPr="006D55BB" w:rsidTr="005C1661">
        <w:tc>
          <w:tcPr>
            <w:tcW w:w="1413" w:type="dxa"/>
          </w:tcPr>
          <w:p w:rsidR="007644FB" w:rsidRPr="006D55BB" w:rsidRDefault="007644FB" w:rsidP="00B7304B">
            <w:pPr>
              <w:tabs>
                <w:tab w:val="left" w:pos="426"/>
              </w:tabs>
              <w:ind w:right="140"/>
              <w:jc w:val="both"/>
              <w:rPr>
                <w:rFonts w:asciiTheme="majorHAnsi" w:hAnsiTheme="majorHAnsi" w:cstheme="majorHAnsi"/>
                <w:sz w:val="20"/>
                <w:szCs w:val="22"/>
                <w:lang w:val="en-GB"/>
              </w:rPr>
            </w:pPr>
            <w:r w:rsidRPr="006D55BB">
              <w:rPr>
                <w:rFonts w:asciiTheme="majorHAnsi" w:hAnsiTheme="majorHAnsi" w:cstheme="majorHAnsi"/>
                <w:sz w:val="20"/>
                <w:szCs w:val="22"/>
                <w:lang w:val="en-GB"/>
              </w:rPr>
              <w:t>Recital 22</w:t>
            </w:r>
          </w:p>
        </w:tc>
        <w:tc>
          <w:tcPr>
            <w:tcW w:w="4111" w:type="dxa"/>
          </w:tcPr>
          <w:p w:rsidR="007644FB" w:rsidRPr="006D55BB" w:rsidRDefault="00956083" w:rsidP="00B7304B">
            <w:pPr>
              <w:tabs>
                <w:tab w:val="left" w:pos="426"/>
              </w:tabs>
              <w:ind w:right="140"/>
              <w:jc w:val="both"/>
              <w:rPr>
                <w:rFonts w:asciiTheme="majorHAnsi" w:hAnsiTheme="majorHAnsi" w:cstheme="majorHAnsi"/>
                <w:sz w:val="20"/>
                <w:szCs w:val="22"/>
                <w:lang w:val="en-GB"/>
              </w:rPr>
            </w:pPr>
            <w:r w:rsidRPr="006D55BB">
              <w:rPr>
                <w:rFonts w:asciiTheme="majorHAnsi" w:hAnsiTheme="majorHAnsi" w:cstheme="majorHAnsi"/>
                <w:sz w:val="20"/>
                <w:szCs w:val="22"/>
                <w:lang w:val="en-GB"/>
              </w:rPr>
              <w:t>Maturity structures</w:t>
            </w:r>
          </w:p>
        </w:tc>
        <w:tc>
          <w:tcPr>
            <w:tcW w:w="4529" w:type="dxa"/>
          </w:tcPr>
          <w:p w:rsidR="007644FB" w:rsidRPr="006D55BB" w:rsidRDefault="00DD4D8C" w:rsidP="00B7304B">
            <w:pPr>
              <w:tabs>
                <w:tab w:val="left" w:pos="426"/>
              </w:tabs>
              <w:ind w:right="140"/>
              <w:jc w:val="both"/>
              <w:rPr>
                <w:rFonts w:asciiTheme="majorHAnsi" w:hAnsiTheme="majorHAnsi" w:cstheme="majorHAnsi"/>
                <w:sz w:val="20"/>
                <w:szCs w:val="22"/>
                <w:lang w:val="en-GB"/>
              </w:rPr>
            </w:pPr>
            <w:hyperlink w:anchor="_Greece" w:history="1">
              <w:r w:rsidR="006A4A08" w:rsidRPr="006D55BB">
                <w:rPr>
                  <w:rStyle w:val="Hyperlink"/>
                  <w:rFonts w:asciiTheme="majorHAnsi" w:hAnsiTheme="majorHAnsi" w:cstheme="majorHAnsi"/>
                  <w:sz w:val="20"/>
                  <w:lang w:val="en-GB"/>
                </w:rPr>
                <w:t>Greece</w:t>
              </w:r>
            </w:hyperlink>
            <w:r w:rsidR="006A4A08" w:rsidRPr="006D55BB">
              <w:rPr>
                <w:rFonts w:asciiTheme="majorHAnsi" w:hAnsiTheme="majorHAnsi" w:cstheme="majorHAnsi"/>
                <w:sz w:val="20"/>
                <w:lang w:val="en-GB"/>
              </w:rPr>
              <w:t xml:space="preserve"> </w:t>
            </w:r>
            <w:hyperlink w:anchor="_Italy_-_TBC" w:history="1">
              <w:r w:rsidR="0062363C" w:rsidRPr="006D55BB">
                <w:rPr>
                  <w:rStyle w:val="Hyperlink"/>
                  <w:rFonts w:asciiTheme="majorHAnsi" w:hAnsiTheme="majorHAnsi" w:cstheme="majorHAnsi"/>
                  <w:sz w:val="20"/>
                  <w:szCs w:val="22"/>
                  <w:lang w:val="en-GB"/>
                </w:rPr>
                <w:t>Italy</w:t>
              </w:r>
            </w:hyperlink>
            <w:r w:rsidR="00AB69A7" w:rsidRPr="006D55BB">
              <w:rPr>
                <w:rFonts w:asciiTheme="majorHAnsi" w:hAnsiTheme="majorHAnsi" w:cstheme="majorHAnsi"/>
                <w:sz w:val="20"/>
                <w:szCs w:val="22"/>
                <w:lang w:val="en-GB"/>
              </w:rPr>
              <w:t xml:space="preserve">, </w:t>
            </w:r>
            <w:hyperlink w:anchor="_Poland" w:history="1">
              <w:r w:rsidR="009B13C9" w:rsidRPr="006D55BB">
                <w:rPr>
                  <w:rStyle w:val="Hyperlink"/>
                  <w:rFonts w:asciiTheme="majorHAnsi" w:hAnsiTheme="majorHAnsi" w:cstheme="majorHAnsi"/>
                  <w:sz w:val="20"/>
                  <w:szCs w:val="20"/>
                  <w:lang w:val="en-GB"/>
                </w:rPr>
                <w:t>Poland</w:t>
              </w:r>
            </w:hyperlink>
          </w:p>
        </w:tc>
      </w:tr>
      <w:tr w:rsidR="00E962EB" w:rsidRPr="006D55BB" w:rsidTr="005C1661">
        <w:tc>
          <w:tcPr>
            <w:tcW w:w="1413" w:type="dxa"/>
          </w:tcPr>
          <w:p w:rsidR="00E962EB" w:rsidRPr="006D55BB" w:rsidRDefault="00E962EB" w:rsidP="00B7304B">
            <w:pPr>
              <w:tabs>
                <w:tab w:val="left" w:pos="426"/>
              </w:tabs>
              <w:ind w:right="140"/>
              <w:jc w:val="both"/>
              <w:rPr>
                <w:rFonts w:asciiTheme="majorHAnsi" w:hAnsiTheme="majorHAnsi" w:cstheme="majorHAnsi"/>
                <w:sz w:val="20"/>
                <w:szCs w:val="22"/>
                <w:lang w:val="en-GB"/>
              </w:rPr>
            </w:pPr>
            <w:r w:rsidRPr="006D55BB">
              <w:rPr>
                <w:rFonts w:asciiTheme="majorHAnsi" w:hAnsiTheme="majorHAnsi" w:cstheme="majorHAnsi"/>
                <w:sz w:val="20"/>
                <w:szCs w:val="22"/>
                <w:lang w:val="en-GB"/>
              </w:rPr>
              <w:t>Recital 33</w:t>
            </w:r>
          </w:p>
        </w:tc>
        <w:tc>
          <w:tcPr>
            <w:tcW w:w="4111" w:type="dxa"/>
          </w:tcPr>
          <w:p w:rsidR="00E962EB" w:rsidRPr="006D55BB" w:rsidRDefault="00956083" w:rsidP="00B7304B">
            <w:pPr>
              <w:tabs>
                <w:tab w:val="left" w:pos="426"/>
              </w:tabs>
              <w:ind w:right="140"/>
              <w:jc w:val="both"/>
              <w:rPr>
                <w:rFonts w:asciiTheme="majorHAnsi" w:hAnsiTheme="majorHAnsi" w:cstheme="majorHAnsi"/>
                <w:sz w:val="20"/>
                <w:szCs w:val="22"/>
                <w:lang w:val="en-GB"/>
              </w:rPr>
            </w:pPr>
            <w:r w:rsidRPr="006D55BB">
              <w:rPr>
                <w:rFonts w:asciiTheme="majorHAnsi" w:hAnsiTheme="majorHAnsi" w:cstheme="majorHAnsi"/>
                <w:sz w:val="20"/>
                <w:szCs w:val="22"/>
                <w:lang w:val="en-GB"/>
              </w:rPr>
              <w:t>European Covered Bonds Label</w:t>
            </w:r>
          </w:p>
        </w:tc>
        <w:tc>
          <w:tcPr>
            <w:tcW w:w="4529" w:type="dxa"/>
          </w:tcPr>
          <w:p w:rsidR="00E962EB" w:rsidRPr="006D55BB" w:rsidRDefault="00DD4D8C" w:rsidP="00B7304B">
            <w:pPr>
              <w:tabs>
                <w:tab w:val="left" w:pos="426"/>
              </w:tabs>
              <w:ind w:right="140"/>
              <w:jc w:val="both"/>
              <w:rPr>
                <w:rFonts w:asciiTheme="majorHAnsi" w:hAnsiTheme="majorHAnsi" w:cstheme="majorHAnsi"/>
                <w:sz w:val="20"/>
                <w:szCs w:val="20"/>
                <w:lang w:val="en-GB"/>
              </w:rPr>
            </w:pPr>
            <w:hyperlink w:anchor="_The_Netherlands" w:history="1">
              <w:r w:rsidR="00E962EB" w:rsidRPr="006D55BB">
                <w:rPr>
                  <w:rStyle w:val="Hyperlink"/>
                  <w:rFonts w:asciiTheme="majorHAnsi" w:hAnsiTheme="majorHAnsi" w:cstheme="majorHAnsi"/>
                  <w:sz w:val="20"/>
                  <w:szCs w:val="20"/>
                  <w:lang w:val="en-GB"/>
                </w:rPr>
                <w:t>Netherlands</w:t>
              </w:r>
            </w:hyperlink>
          </w:p>
        </w:tc>
      </w:tr>
      <w:tr w:rsidR="00AF6141" w:rsidRPr="006D55BB" w:rsidTr="005C1661">
        <w:tc>
          <w:tcPr>
            <w:tcW w:w="1413" w:type="dxa"/>
          </w:tcPr>
          <w:p w:rsidR="00AF6141" w:rsidRPr="006D55BB" w:rsidRDefault="007644FB" w:rsidP="00B7304B">
            <w:pPr>
              <w:tabs>
                <w:tab w:val="left" w:pos="426"/>
              </w:tabs>
              <w:ind w:right="140"/>
              <w:jc w:val="both"/>
              <w:rPr>
                <w:rFonts w:asciiTheme="majorHAnsi" w:hAnsiTheme="majorHAnsi" w:cstheme="majorHAnsi"/>
                <w:sz w:val="20"/>
                <w:szCs w:val="22"/>
                <w:lang w:val="en-GB"/>
              </w:rPr>
            </w:pPr>
            <w:r w:rsidRPr="006D55BB">
              <w:rPr>
                <w:rFonts w:asciiTheme="majorHAnsi" w:hAnsiTheme="majorHAnsi" w:cstheme="majorHAnsi"/>
                <w:sz w:val="20"/>
                <w:szCs w:val="22"/>
                <w:lang w:val="en-GB"/>
              </w:rPr>
              <w:t>Art. 3</w:t>
            </w:r>
          </w:p>
        </w:tc>
        <w:tc>
          <w:tcPr>
            <w:tcW w:w="4111" w:type="dxa"/>
          </w:tcPr>
          <w:p w:rsidR="00AF6141" w:rsidRPr="006D55BB" w:rsidRDefault="00AF6141" w:rsidP="00B7304B">
            <w:pPr>
              <w:tabs>
                <w:tab w:val="left" w:pos="426"/>
              </w:tabs>
              <w:ind w:right="140"/>
              <w:jc w:val="both"/>
              <w:rPr>
                <w:rFonts w:asciiTheme="majorHAnsi" w:hAnsiTheme="majorHAnsi" w:cstheme="majorHAnsi"/>
                <w:sz w:val="20"/>
                <w:szCs w:val="22"/>
                <w:lang w:val="en-GB"/>
              </w:rPr>
            </w:pPr>
            <w:r w:rsidRPr="006D55BB">
              <w:rPr>
                <w:rFonts w:asciiTheme="majorHAnsi" w:hAnsiTheme="majorHAnsi" w:cstheme="majorHAnsi"/>
                <w:sz w:val="20"/>
                <w:szCs w:val="22"/>
                <w:lang w:val="en-GB"/>
              </w:rPr>
              <w:t>Dual recourse</w:t>
            </w:r>
          </w:p>
        </w:tc>
        <w:tc>
          <w:tcPr>
            <w:tcW w:w="4529" w:type="dxa"/>
          </w:tcPr>
          <w:p w:rsidR="00AF6141" w:rsidRPr="006D55BB" w:rsidRDefault="00DD4D8C" w:rsidP="00B7304B">
            <w:pPr>
              <w:tabs>
                <w:tab w:val="left" w:pos="426"/>
              </w:tabs>
              <w:ind w:right="140"/>
              <w:jc w:val="both"/>
              <w:rPr>
                <w:rFonts w:asciiTheme="majorHAnsi" w:hAnsiTheme="majorHAnsi" w:cstheme="majorHAnsi"/>
                <w:sz w:val="20"/>
                <w:szCs w:val="20"/>
                <w:lang w:val="en-GB"/>
              </w:rPr>
            </w:pPr>
            <w:hyperlink w:anchor="_Sweden" w:history="1">
              <w:r w:rsidR="0062363C" w:rsidRPr="006D55BB">
                <w:rPr>
                  <w:rStyle w:val="Hyperlink"/>
                  <w:rFonts w:asciiTheme="majorHAnsi" w:hAnsiTheme="majorHAnsi" w:cstheme="majorHAnsi"/>
                  <w:sz w:val="20"/>
                  <w:szCs w:val="20"/>
                  <w:lang w:val="en-GB"/>
                </w:rPr>
                <w:t>Sweden</w:t>
              </w:r>
            </w:hyperlink>
          </w:p>
        </w:tc>
      </w:tr>
      <w:tr w:rsidR="0062363C" w:rsidRPr="006D55BB" w:rsidTr="005C1661">
        <w:tc>
          <w:tcPr>
            <w:tcW w:w="1413" w:type="dxa"/>
          </w:tcPr>
          <w:p w:rsidR="0062363C" w:rsidRPr="006D55BB" w:rsidRDefault="0062363C" w:rsidP="00B7304B">
            <w:pPr>
              <w:tabs>
                <w:tab w:val="left" w:pos="426"/>
              </w:tabs>
              <w:ind w:right="140"/>
              <w:jc w:val="both"/>
              <w:rPr>
                <w:rFonts w:asciiTheme="majorHAnsi" w:hAnsiTheme="majorHAnsi" w:cstheme="majorHAnsi"/>
                <w:sz w:val="20"/>
                <w:szCs w:val="22"/>
                <w:lang w:val="en-GB"/>
              </w:rPr>
            </w:pPr>
            <w:r w:rsidRPr="006D55BB">
              <w:rPr>
                <w:rFonts w:asciiTheme="majorHAnsi" w:hAnsiTheme="majorHAnsi" w:cstheme="majorHAnsi"/>
                <w:sz w:val="20"/>
                <w:szCs w:val="22"/>
                <w:lang w:val="en-GB"/>
              </w:rPr>
              <w:t>Art. 5</w:t>
            </w:r>
          </w:p>
        </w:tc>
        <w:tc>
          <w:tcPr>
            <w:tcW w:w="4111" w:type="dxa"/>
          </w:tcPr>
          <w:p w:rsidR="0062363C" w:rsidRPr="006D55BB" w:rsidRDefault="00391E18" w:rsidP="00B7304B">
            <w:pPr>
              <w:tabs>
                <w:tab w:val="left" w:pos="426"/>
              </w:tabs>
              <w:ind w:right="140"/>
              <w:jc w:val="both"/>
              <w:rPr>
                <w:rFonts w:asciiTheme="majorHAnsi" w:hAnsiTheme="majorHAnsi" w:cstheme="majorHAnsi"/>
                <w:sz w:val="20"/>
                <w:szCs w:val="22"/>
                <w:lang w:val="en-GB"/>
              </w:rPr>
            </w:pPr>
            <w:r w:rsidRPr="006D55BB">
              <w:rPr>
                <w:rFonts w:asciiTheme="majorHAnsi" w:hAnsiTheme="majorHAnsi" w:cstheme="majorHAnsi"/>
                <w:sz w:val="20"/>
                <w:szCs w:val="22"/>
                <w:lang w:val="en-GB"/>
              </w:rPr>
              <w:t>Bankruptcy remoteness of the covered bonds</w:t>
            </w:r>
          </w:p>
        </w:tc>
        <w:tc>
          <w:tcPr>
            <w:tcW w:w="4529" w:type="dxa"/>
          </w:tcPr>
          <w:p w:rsidR="0062363C" w:rsidRPr="006D55BB" w:rsidRDefault="00DD4D8C" w:rsidP="00B7304B">
            <w:pPr>
              <w:tabs>
                <w:tab w:val="left" w:pos="426"/>
              </w:tabs>
              <w:ind w:right="140"/>
              <w:jc w:val="both"/>
              <w:rPr>
                <w:rFonts w:asciiTheme="majorHAnsi" w:hAnsiTheme="majorHAnsi" w:cstheme="majorHAnsi"/>
                <w:sz w:val="20"/>
                <w:szCs w:val="20"/>
                <w:lang w:val="en-GB"/>
              </w:rPr>
            </w:pPr>
            <w:hyperlink w:anchor="_Poland" w:history="1">
              <w:r w:rsidR="0062363C" w:rsidRPr="006D55BB">
                <w:rPr>
                  <w:rStyle w:val="Hyperlink"/>
                  <w:rFonts w:asciiTheme="majorHAnsi" w:hAnsiTheme="majorHAnsi" w:cstheme="majorHAnsi"/>
                  <w:sz w:val="20"/>
                  <w:szCs w:val="20"/>
                  <w:lang w:val="en-GB"/>
                </w:rPr>
                <w:t>Poland</w:t>
              </w:r>
            </w:hyperlink>
          </w:p>
        </w:tc>
      </w:tr>
      <w:tr w:rsidR="005539F8" w:rsidRPr="000261CA" w:rsidTr="005C1661">
        <w:tc>
          <w:tcPr>
            <w:tcW w:w="1413" w:type="dxa"/>
          </w:tcPr>
          <w:p w:rsidR="005539F8" w:rsidRPr="006D55BB" w:rsidRDefault="005539F8" w:rsidP="00B7304B">
            <w:pPr>
              <w:tabs>
                <w:tab w:val="left" w:pos="426"/>
              </w:tabs>
              <w:ind w:right="140"/>
              <w:jc w:val="both"/>
              <w:rPr>
                <w:rFonts w:asciiTheme="majorHAnsi" w:hAnsiTheme="majorHAnsi" w:cstheme="majorHAnsi"/>
                <w:sz w:val="20"/>
                <w:szCs w:val="22"/>
                <w:lang w:val="en-GB"/>
              </w:rPr>
            </w:pPr>
            <w:r w:rsidRPr="006D55BB">
              <w:rPr>
                <w:rFonts w:asciiTheme="majorHAnsi" w:hAnsiTheme="majorHAnsi" w:cstheme="majorHAnsi"/>
                <w:sz w:val="20"/>
                <w:szCs w:val="22"/>
                <w:lang w:val="en-GB"/>
              </w:rPr>
              <w:t>Art. 6</w:t>
            </w:r>
          </w:p>
        </w:tc>
        <w:tc>
          <w:tcPr>
            <w:tcW w:w="4111" w:type="dxa"/>
          </w:tcPr>
          <w:p w:rsidR="005539F8" w:rsidRPr="006D55BB" w:rsidRDefault="005539F8" w:rsidP="00B7304B">
            <w:pPr>
              <w:tabs>
                <w:tab w:val="left" w:pos="426"/>
              </w:tabs>
              <w:ind w:right="140"/>
              <w:jc w:val="both"/>
              <w:rPr>
                <w:rFonts w:asciiTheme="majorHAnsi" w:hAnsiTheme="majorHAnsi" w:cstheme="majorHAnsi"/>
                <w:sz w:val="20"/>
                <w:szCs w:val="22"/>
                <w:lang w:val="en-GB"/>
              </w:rPr>
            </w:pPr>
            <w:r w:rsidRPr="006D55BB">
              <w:rPr>
                <w:rFonts w:asciiTheme="majorHAnsi" w:hAnsiTheme="majorHAnsi" w:cstheme="majorHAnsi"/>
                <w:sz w:val="20"/>
                <w:szCs w:val="22"/>
                <w:lang w:val="en-GB"/>
              </w:rPr>
              <w:t>Eligible assets</w:t>
            </w:r>
          </w:p>
        </w:tc>
        <w:tc>
          <w:tcPr>
            <w:tcW w:w="4529" w:type="dxa"/>
          </w:tcPr>
          <w:p w:rsidR="005539F8" w:rsidRPr="006D55BB" w:rsidRDefault="00DD4D8C" w:rsidP="00B7304B">
            <w:pPr>
              <w:tabs>
                <w:tab w:val="left" w:pos="426"/>
              </w:tabs>
              <w:ind w:right="140"/>
              <w:jc w:val="both"/>
              <w:rPr>
                <w:rFonts w:asciiTheme="majorHAnsi" w:hAnsiTheme="majorHAnsi" w:cstheme="majorHAnsi"/>
                <w:sz w:val="20"/>
                <w:szCs w:val="20"/>
                <w:lang w:val="en-GB"/>
              </w:rPr>
            </w:pPr>
            <w:hyperlink w:anchor="_Finland" w:history="1">
              <w:r w:rsidR="00724AC0" w:rsidRPr="006D55BB">
                <w:rPr>
                  <w:rStyle w:val="Hyperlink"/>
                  <w:rFonts w:asciiTheme="majorHAnsi" w:hAnsiTheme="majorHAnsi" w:cstheme="majorHAnsi"/>
                  <w:sz w:val="20"/>
                  <w:szCs w:val="22"/>
                  <w:lang w:val="en-GB"/>
                </w:rPr>
                <w:t>Finland</w:t>
              </w:r>
            </w:hyperlink>
            <w:r w:rsidR="00724AC0" w:rsidRPr="006D55BB">
              <w:rPr>
                <w:rFonts w:asciiTheme="majorHAnsi" w:hAnsiTheme="majorHAnsi" w:cstheme="majorHAnsi"/>
                <w:sz w:val="20"/>
                <w:szCs w:val="22"/>
                <w:lang w:val="en-GB"/>
              </w:rPr>
              <w:t>,</w:t>
            </w:r>
            <w:r w:rsidR="00724AC0" w:rsidRPr="006D55BB">
              <w:rPr>
                <w:lang w:val="en-GB"/>
              </w:rPr>
              <w:t xml:space="preserve"> </w:t>
            </w:r>
            <w:hyperlink w:anchor="_Denmark" w:history="1">
              <w:r w:rsidR="007644FB" w:rsidRPr="006D55BB">
                <w:rPr>
                  <w:rStyle w:val="Hyperlink"/>
                  <w:rFonts w:asciiTheme="majorHAnsi" w:hAnsiTheme="majorHAnsi" w:cstheme="majorHAnsi"/>
                  <w:sz w:val="20"/>
                  <w:szCs w:val="20"/>
                  <w:lang w:val="en-GB"/>
                </w:rPr>
                <w:t>Denmark</w:t>
              </w:r>
            </w:hyperlink>
            <w:r w:rsidR="009B13C9" w:rsidRPr="006D55BB">
              <w:rPr>
                <w:rFonts w:asciiTheme="majorHAnsi" w:hAnsiTheme="majorHAnsi" w:cstheme="majorHAnsi"/>
                <w:sz w:val="20"/>
                <w:szCs w:val="20"/>
                <w:lang w:val="en-GB"/>
              </w:rPr>
              <w:t xml:space="preserve">, </w:t>
            </w:r>
            <w:hyperlink w:anchor="_Germany_1" w:history="1">
              <w:r w:rsidR="0062363C" w:rsidRPr="006D55BB">
                <w:rPr>
                  <w:rStyle w:val="Hyperlink"/>
                  <w:rFonts w:asciiTheme="majorHAnsi" w:hAnsiTheme="majorHAnsi" w:cstheme="majorHAnsi"/>
                  <w:sz w:val="20"/>
                  <w:szCs w:val="20"/>
                  <w:lang w:val="en-GB"/>
                </w:rPr>
                <w:t>Germany</w:t>
              </w:r>
            </w:hyperlink>
            <w:r w:rsidR="0062363C" w:rsidRPr="006D55BB">
              <w:rPr>
                <w:rFonts w:asciiTheme="majorHAnsi" w:hAnsiTheme="majorHAnsi" w:cstheme="majorHAnsi"/>
                <w:sz w:val="20"/>
                <w:szCs w:val="20"/>
                <w:lang w:val="en-GB"/>
              </w:rPr>
              <w:t xml:space="preserve">, </w:t>
            </w:r>
            <w:hyperlink w:anchor="_Italy" w:history="1">
              <w:r w:rsidR="0062363C" w:rsidRPr="006D55BB">
                <w:rPr>
                  <w:rStyle w:val="Hyperlink"/>
                  <w:rFonts w:asciiTheme="majorHAnsi" w:hAnsiTheme="majorHAnsi" w:cstheme="majorHAnsi"/>
                  <w:sz w:val="20"/>
                  <w:szCs w:val="20"/>
                  <w:lang w:val="en-GB"/>
                </w:rPr>
                <w:t>Italy</w:t>
              </w:r>
            </w:hyperlink>
            <w:r w:rsidR="0062363C" w:rsidRPr="006D55BB">
              <w:rPr>
                <w:rFonts w:asciiTheme="majorHAnsi" w:hAnsiTheme="majorHAnsi" w:cstheme="majorHAnsi"/>
                <w:sz w:val="20"/>
                <w:szCs w:val="20"/>
                <w:lang w:val="en-GB"/>
              </w:rPr>
              <w:t xml:space="preserve">, </w:t>
            </w:r>
            <w:hyperlink w:anchor="_Luxembourg" w:history="1">
              <w:r w:rsidR="0062363C" w:rsidRPr="006D55BB">
                <w:rPr>
                  <w:rStyle w:val="Hyperlink"/>
                  <w:rFonts w:asciiTheme="majorHAnsi" w:hAnsiTheme="majorHAnsi" w:cstheme="majorHAnsi"/>
                  <w:sz w:val="20"/>
                  <w:szCs w:val="20"/>
                  <w:lang w:val="en-GB"/>
                </w:rPr>
                <w:t>Luxembourg</w:t>
              </w:r>
            </w:hyperlink>
            <w:r w:rsidR="0062363C" w:rsidRPr="006D55BB">
              <w:rPr>
                <w:rFonts w:asciiTheme="majorHAnsi" w:hAnsiTheme="majorHAnsi" w:cstheme="majorHAnsi"/>
                <w:sz w:val="20"/>
                <w:szCs w:val="20"/>
                <w:lang w:val="en-GB"/>
              </w:rPr>
              <w:t xml:space="preserve">, </w:t>
            </w:r>
            <w:hyperlink w:anchor="_The_Netherlands" w:history="1">
              <w:r w:rsidR="00E962EB" w:rsidRPr="006D55BB">
                <w:rPr>
                  <w:rStyle w:val="Hyperlink"/>
                  <w:rFonts w:asciiTheme="majorHAnsi" w:hAnsiTheme="majorHAnsi" w:cstheme="majorHAnsi"/>
                  <w:sz w:val="20"/>
                  <w:szCs w:val="20"/>
                  <w:lang w:val="en-GB"/>
                </w:rPr>
                <w:t>Netherlands</w:t>
              </w:r>
            </w:hyperlink>
            <w:r w:rsidR="00E962EB" w:rsidRPr="006D55BB">
              <w:rPr>
                <w:rFonts w:asciiTheme="majorHAnsi" w:hAnsiTheme="majorHAnsi" w:cstheme="majorHAnsi"/>
                <w:sz w:val="20"/>
                <w:szCs w:val="20"/>
                <w:lang w:val="en-GB"/>
              </w:rPr>
              <w:t xml:space="preserve">, </w:t>
            </w:r>
            <w:hyperlink w:anchor="_Poland" w:history="1">
              <w:r w:rsidR="009B13C9" w:rsidRPr="006D55BB">
                <w:rPr>
                  <w:rStyle w:val="Hyperlink"/>
                  <w:rFonts w:asciiTheme="majorHAnsi" w:hAnsiTheme="majorHAnsi" w:cstheme="majorHAnsi"/>
                  <w:sz w:val="20"/>
                  <w:szCs w:val="22"/>
                  <w:lang w:val="en-GB"/>
                </w:rPr>
                <w:t>Norway</w:t>
              </w:r>
            </w:hyperlink>
            <w:r w:rsidR="009B13C9" w:rsidRPr="006D55BB">
              <w:rPr>
                <w:rStyle w:val="Hyperlink"/>
                <w:rFonts w:asciiTheme="majorHAnsi" w:hAnsiTheme="majorHAnsi" w:cstheme="majorHAnsi"/>
                <w:sz w:val="20"/>
                <w:szCs w:val="22"/>
                <w:lang w:val="en-GB"/>
              </w:rPr>
              <w:t xml:space="preserve">, </w:t>
            </w:r>
            <w:hyperlink w:anchor="_Spain" w:history="1">
              <w:r w:rsidR="0062363C" w:rsidRPr="006D55BB">
                <w:rPr>
                  <w:rStyle w:val="Hyperlink"/>
                  <w:rFonts w:asciiTheme="majorHAnsi" w:hAnsiTheme="majorHAnsi" w:cstheme="majorHAnsi"/>
                  <w:sz w:val="20"/>
                  <w:szCs w:val="20"/>
                  <w:lang w:val="en-GB"/>
                </w:rPr>
                <w:t>Spain</w:t>
              </w:r>
            </w:hyperlink>
            <w:r w:rsidR="0062363C" w:rsidRPr="006D55BB">
              <w:rPr>
                <w:rFonts w:asciiTheme="majorHAnsi" w:hAnsiTheme="majorHAnsi" w:cstheme="majorHAnsi"/>
                <w:sz w:val="20"/>
                <w:szCs w:val="20"/>
                <w:lang w:val="en-GB"/>
              </w:rPr>
              <w:t xml:space="preserve">, </w:t>
            </w:r>
            <w:hyperlink w:anchor="_Sweden" w:history="1">
              <w:r w:rsidR="0062363C" w:rsidRPr="006D55BB">
                <w:rPr>
                  <w:rStyle w:val="Hyperlink"/>
                  <w:rFonts w:asciiTheme="majorHAnsi" w:hAnsiTheme="majorHAnsi" w:cstheme="majorHAnsi"/>
                  <w:sz w:val="20"/>
                  <w:szCs w:val="20"/>
                  <w:lang w:val="en-GB"/>
                </w:rPr>
                <w:t>Sweden</w:t>
              </w:r>
            </w:hyperlink>
            <w:r w:rsidR="009B13C9" w:rsidRPr="006D55BB">
              <w:rPr>
                <w:rStyle w:val="Hyperlink"/>
                <w:rFonts w:asciiTheme="majorHAnsi" w:hAnsiTheme="majorHAnsi" w:cstheme="majorHAnsi"/>
                <w:sz w:val="20"/>
                <w:szCs w:val="20"/>
                <w:lang w:val="en-GB"/>
              </w:rPr>
              <w:t xml:space="preserve">, </w:t>
            </w:r>
          </w:p>
        </w:tc>
      </w:tr>
      <w:tr w:rsidR="005539F8" w:rsidRPr="006D55BB" w:rsidTr="005C1661">
        <w:tc>
          <w:tcPr>
            <w:tcW w:w="1413" w:type="dxa"/>
          </w:tcPr>
          <w:p w:rsidR="005539F8" w:rsidRPr="006D55BB" w:rsidRDefault="005539F8" w:rsidP="00B7304B">
            <w:pPr>
              <w:tabs>
                <w:tab w:val="left" w:pos="426"/>
              </w:tabs>
              <w:ind w:right="140"/>
              <w:jc w:val="both"/>
              <w:rPr>
                <w:rFonts w:asciiTheme="majorHAnsi" w:hAnsiTheme="majorHAnsi" w:cstheme="majorHAnsi"/>
                <w:sz w:val="20"/>
                <w:szCs w:val="22"/>
                <w:lang w:val="en-GB"/>
              </w:rPr>
            </w:pPr>
            <w:r w:rsidRPr="006D55BB">
              <w:rPr>
                <w:rFonts w:asciiTheme="majorHAnsi" w:hAnsiTheme="majorHAnsi" w:cstheme="majorHAnsi"/>
                <w:sz w:val="20"/>
                <w:szCs w:val="22"/>
                <w:lang w:val="en-GB"/>
              </w:rPr>
              <w:t>Art. 7</w:t>
            </w:r>
          </w:p>
        </w:tc>
        <w:tc>
          <w:tcPr>
            <w:tcW w:w="4111" w:type="dxa"/>
          </w:tcPr>
          <w:p w:rsidR="005539F8" w:rsidRPr="006D55BB" w:rsidRDefault="005539F8" w:rsidP="00B7304B">
            <w:pPr>
              <w:tabs>
                <w:tab w:val="left" w:pos="426"/>
              </w:tabs>
              <w:ind w:right="140"/>
              <w:jc w:val="both"/>
              <w:rPr>
                <w:rFonts w:asciiTheme="majorHAnsi" w:hAnsiTheme="majorHAnsi" w:cstheme="majorHAnsi"/>
                <w:sz w:val="20"/>
                <w:szCs w:val="22"/>
                <w:lang w:val="en-GB"/>
              </w:rPr>
            </w:pPr>
            <w:r w:rsidRPr="006D55BB">
              <w:rPr>
                <w:rFonts w:asciiTheme="majorHAnsi" w:hAnsiTheme="majorHAnsi" w:cstheme="majorHAnsi"/>
                <w:sz w:val="20"/>
                <w:szCs w:val="22"/>
                <w:lang w:val="en-GB"/>
              </w:rPr>
              <w:t>Assets located outside of the Union</w:t>
            </w:r>
          </w:p>
        </w:tc>
        <w:tc>
          <w:tcPr>
            <w:tcW w:w="4529" w:type="dxa"/>
          </w:tcPr>
          <w:p w:rsidR="005539F8" w:rsidRPr="006D55BB" w:rsidRDefault="00DD4D8C" w:rsidP="00B7304B">
            <w:pPr>
              <w:tabs>
                <w:tab w:val="left" w:pos="426"/>
              </w:tabs>
              <w:ind w:right="140"/>
              <w:jc w:val="both"/>
              <w:rPr>
                <w:rFonts w:asciiTheme="majorHAnsi" w:hAnsiTheme="majorHAnsi" w:cstheme="majorHAnsi"/>
                <w:sz w:val="20"/>
                <w:szCs w:val="20"/>
                <w:lang w:val="en-GB"/>
              </w:rPr>
            </w:pPr>
            <w:hyperlink w:anchor="_Germany_1" w:history="1">
              <w:r w:rsidR="0062363C" w:rsidRPr="006D55BB">
                <w:rPr>
                  <w:rStyle w:val="Hyperlink"/>
                  <w:rFonts w:asciiTheme="majorHAnsi" w:hAnsiTheme="majorHAnsi" w:cstheme="majorHAnsi"/>
                  <w:sz w:val="20"/>
                  <w:szCs w:val="20"/>
                  <w:lang w:val="en-GB"/>
                </w:rPr>
                <w:t>Germany</w:t>
              </w:r>
            </w:hyperlink>
            <w:r w:rsidR="00FB7698" w:rsidRPr="006D55BB">
              <w:rPr>
                <w:rStyle w:val="Hyperlink"/>
                <w:rFonts w:asciiTheme="majorHAnsi" w:hAnsiTheme="majorHAnsi" w:cstheme="majorHAnsi"/>
                <w:sz w:val="20"/>
                <w:szCs w:val="20"/>
                <w:lang w:val="en-GB"/>
              </w:rPr>
              <w:t xml:space="preserve">, </w:t>
            </w:r>
            <w:hyperlink w:anchor="_Luxembourg" w:history="1">
              <w:r w:rsidR="00FB7698" w:rsidRPr="006D55BB">
                <w:rPr>
                  <w:rStyle w:val="Hyperlink"/>
                  <w:rFonts w:asciiTheme="majorHAnsi" w:hAnsiTheme="majorHAnsi" w:cstheme="majorHAnsi"/>
                  <w:sz w:val="20"/>
                  <w:szCs w:val="20"/>
                  <w:lang w:val="en-GB"/>
                </w:rPr>
                <w:t>Luxembourg</w:t>
              </w:r>
            </w:hyperlink>
          </w:p>
        </w:tc>
      </w:tr>
      <w:tr w:rsidR="005539F8" w:rsidRPr="006D55BB" w:rsidTr="005C1661">
        <w:tc>
          <w:tcPr>
            <w:tcW w:w="1413" w:type="dxa"/>
          </w:tcPr>
          <w:p w:rsidR="005539F8" w:rsidRPr="006D55BB" w:rsidRDefault="005539F8" w:rsidP="00B7304B">
            <w:pPr>
              <w:tabs>
                <w:tab w:val="left" w:pos="426"/>
              </w:tabs>
              <w:ind w:right="140"/>
              <w:jc w:val="both"/>
              <w:rPr>
                <w:rFonts w:asciiTheme="majorHAnsi" w:hAnsiTheme="majorHAnsi" w:cstheme="majorHAnsi"/>
                <w:sz w:val="20"/>
                <w:szCs w:val="22"/>
                <w:lang w:val="en-GB"/>
              </w:rPr>
            </w:pPr>
            <w:r w:rsidRPr="006D55BB">
              <w:rPr>
                <w:rFonts w:asciiTheme="majorHAnsi" w:hAnsiTheme="majorHAnsi" w:cstheme="majorHAnsi"/>
                <w:sz w:val="20"/>
                <w:szCs w:val="22"/>
                <w:lang w:val="en-GB"/>
              </w:rPr>
              <w:t>Art. 8</w:t>
            </w:r>
          </w:p>
        </w:tc>
        <w:tc>
          <w:tcPr>
            <w:tcW w:w="4111" w:type="dxa"/>
          </w:tcPr>
          <w:p w:rsidR="005539F8" w:rsidRPr="006D55BB" w:rsidRDefault="005539F8" w:rsidP="00B7304B">
            <w:pPr>
              <w:tabs>
                <w:tab w:val="left" w:pos="426"/>
              </w:tabs>
              <w:ind w:right="140"/>
              <w:jc w:val="both"/>
              <w:rPr>
                <w:rFonts w:asciiTheme="majorHAnsi" w:hAnsiTheme="majorHAnsi" w:cstheme="majorHAnsi"/>
                <w:sz w:val="20"/>
                <w:szCs w:val="22"/>
                <w:lang w:val="en-GB"/>
              </w:rPr>
            </w:pPr>
            <w:r w:rsidRPr="006D55BB">
              <w:rPr>
                <w:rFonts w:asciiTheme="majorHAnsi" w:hAnsiTheme="majorHAnsi" w:cstheme="majorHAnsi"/>
                <w:sz w:val="20"/>
                <w:szCs w:val="22"/>
                <w:lang w:val="en-GB"/>
              </w:rPr>
              <w:t>Intragroup pooled covered bond structures</w:t>
            </w:r>
          </w:p>
        </w:tc>
        <w:tc>
          <w:tcPr>
            <w:tcW w:w="4529" w:type="dxa"/>
          </w:tcPr>
          <w:p w:rsidR="005539F8" w:rsidRPr="006D55BB" w:rsidRDefault="00DD4D8C" w:rsidP="00B7304B">
            <w:pPr>
              <w:tabs>
                <w:tab w:val="left" w:pos="426"/>
              </w:tabs>
              <w:ind w:right="140"/>
              <w:jc w:val="both"/>
              <w:rPr>
                <w:rFonts w:asciiTheme="majorHAnsi" w:hAnsiTheme="majorHAnsi" w:cstheme="majorHAnsi"/>
                <w:sz w:val="20"/>
                <w:szCs w:val="20"/>
                <w:lang w:val="en-GB"/>
              </w:rPr>
            </w:pPr>
            <w:hyperlink w:anchor="_Denmark" w:history="1">
              <w:r w:rsidR="007644FB" w:rsidRPr="006D55BB">
                <w:rPr>
                  <w:rStyle w:val="Hyperlink"/>
                  <w:rFonts w:asciiTheme="majorHAnsi" w:hAnsiTheme="majorHAnsi" w:cstheme="majorHAnsi"/>
                  <w:sz w:val="20"/>
                  <w:szCs w:val="20"/>
                  <w:lang w:val="en-GB"/>
                </w:rPr>
                <w:t>Denmark</w:t>
              </w:r>
            </w:hyperlink>
            <w:r w:rsidR="0062363C" w:rsidRPr="006D55BB">
              <w:rPr>
                <w:rFonts w:asciiTheme="majorHAnsi" w:hAnsiTheme="majorHAnsi" w:cstheme="majorHAnsi"/>
                <w:sz w:val="20"/>
                <w:szCs w:val="20"/>
                <w:lang w:val="en-GB"/>
              </w:rPr>
              <w:t xml:space="preserve">, </w:t>
            </w:r>
            <w:hyperlink w:anchor="_Luxembourg" w:history="1">
              <w:r w:rsidR="00FB7698" w:rsidRPr="006D55BB">
                <w:rPr>
                  <w:rStyle w:val="Hyperlink"/>
                  <w:rFonts w:asciiTheme="majorHAnsi" w:hAnsiTheme="majorHAnsi" w:cstheme="majorHAnsi"/>
                  <w:sz w:val="20"/>
                  <w:szCs w:val="20"/>
                  <w:lang w:val="en-GB"/>
                </w:rPr>
                <w:t>Luxembourg</w:t>
              </w:r>
            </w:hyperlink>
            <w:r w:rsidR="00FB7698" w:rsidRPr="006D55BB">
              <w:rPr>
                <w:rFonts w:asciiTheme="majorHAnsi" w:hAnsiTheme="majorHAnsi" w:cstheme="majorHAnsi"/>
                <w:sz w:val="20"/>
                <w:szCs w:val="20"/>
                <w:lang w:val="en-GB"/>
              </w:rPr>
              <w:t xml:space="preserve">, </w:t>
            </w:r>
            <w:hyperlink w:anchor="_Spain" w:history="1">
              <w:r w:rsidR="0062363C" w:rsidRPr="006D55BB">
                <w:rPr>
                  <w:rStyle w:val="Hyperlink"/>
                  <w:rFonts w:asciiTheme="majorHAnsi" w:hAnsiTheme="majorHAnsi" w:cstheme="majorHAnsi"/>
                  <w:sz w:val="20"/>
                  <w:szCs w:val="20"/>
                  <w:lang w:val="en-GB"/>
                </w:rPr>
                <w:t>Spain</w:t>
              </w:r>
            </w:hyperlink>
          </w:p>
        </w:tc>
      </w:tr>
      <w:tr w:rsidR="005539F8" w:rsidRPr="006D55BB" w:rsidTr="005C1661">
        <w:tc>
          <w:tcPr>
            <w:tcW w:w="1413" w:type="dxa"/>
          </w:tcPr>
          <w:p w:rsidR="005539F8" w:rsidRPr="006D55BB" w:rsidRDefault="005539F8" w:rsidP="00B7304B">
            <w:pPr>
              <w:tabs>
                <w:tab w:val="left" w:pos="426"/>
              </w:tabs>
              <w:ind w:right="140"/>
              <w:jc w:val="both"/>
              <w:rPr>
                <w:rFonts w:asciiTheme="majorHAnsi" w:hAnsiTheme="majorHAnsi" w:cstheme="majorHAnsi"/>
                <w:sz w:val="20"/>
                <w:szCs w:val="22"/>
                <w:lang w:val="en-GB"/>
              </w:rPr>
            </w:pPr>
            <w:r w:rsidRPr="006D55BB">
              <w:rPr>
                <w:rFonts w:asciiTheme="majorHAnsi" w:hAnsiTheme="majorHAnsi" w:cstheme="majorHAnsi"/>
                <w:sz w:val="20"/>
                <w:szCs w:val="22"/>
                <w:lang w:val="en-GB"/>
              </w:rPr>
              <w:t>Art. 9</w:t>
            </w:r>
          </w:p>
        </w:tc>
        <w:tc>
          <w:tcPr>
            <w:tcW w:w="4111" w:type="dxa"/>
          </w:tcPr>
          <w:p w:rsidR="005539F8" w:rsidRPr="006D55BB" w:rsidRDefault="005539F8" w:rsidP="00B7304B">
            <w:pPr>
              <w:tabs>
                <w:tab w:val="left" w:pos="426"/>
              </w:tabs>
              <w:ind w:right="140"/>
              <w:jc w:val="both"/>
              <w:rPr>
                <w:rFonts w:asciiTheme="majorHAnsi" w:hAnsiTheme="majorHAnsi" w:cstheme="majorHAnsi"/>
                <w:sz w:val="20"/>
                <w:szCs w:val="22"/>
                <w:lang w:val="en-GB"/>
              </w:rPr>
            </w:pPr>
            <w:r w:rsidRPr="006D55BB">
              <w:rPr>
                <w:rFonts w:asciiTheme="majorHAnsi" w:hAnsiTheme="majorHAnsi" w:cstheme="majorHAnsi"/>
                <w:sz w:val="20"/>
                <w:szCs w:val="22"/>
                <w:lang w:val="en-GB"/>
              </w:rPr>
              <w:t xml:space="preserve">Joint funding </w:t>
            </w:r>
          </w:p>
        </w:tc>
        <w:tc>
          <w:tcPr>
            <w:tcW w:w="4529" w:type="dxa"/>
          </w:tcPr>
          <w:p w:rsidR="005539F8" w:rsidRPr="006D55BB" w:rsidRDefault="00DD4D8C" w:rsidP="00B7304B">
            <w:pPr>
              <w:tabs>
                <w:tab w:val="left" w:pos="426"/>
              </w:tabs>
              <w:ind w:right="140"/>
              <w:jc w:val="both"/>
              <w:rPr>
                <w:rFonts w:asciiTheme="majorHAnsi" w:hAnsiTheme="majorHAnsi" w:cstheme="majorHAnsi"/>
                <w:sz w:val="20"/>
                <w:szCs w:val="20"/>
                <w:lang w:val="en-GB"/>
              </w:rPr>
            </w:pPr>
            <w:hyperlink w:anchor="_Denmark" w:history="1">
              <w:r w:rsidR="007644FB" w:rsidRPr="006D55BB">
                <w:rPr>
                  <w:rStyle w:val="Hyperlink"/>
                  <w:rFonts w:asciiTheme="majorHAnsi" w:hAnsiTheme="majorHAnsi" w:cstheme="majorHAnsi"/>
                  <w:sz w:val="20"/>
                  <w:szCs w:val="20"/>
                  <w:lang w:val="en-GB"/>
                </w:rPr>
                <w:t>Denmark</w:t>
              </w:r>
            </w:hyperlink>
          </w:p>
        </w:tc>
      </w:tr>
      <w:tr w:rsidR="005C1661" w:rsidRPr="006D55BB" w:rsidTr="005C1661">
        <w:tc>
          <w:tcPr>
            <w:tcW w:w="1413" w:type="dxa"/>
          </w:tcPr>
          <w:p w:rsidR="005C1661" w:rsidRPr="006D55BB" w:rsidRDefault="005C1661" w:rsidP="00B7304B">
            <w:pPr>
              <w:tabs>
                <w:tab w:val="left" w:pos="426"/>
              </w:tabs>
              <w:ind w:right="140"/>
              <w:jc w:val="both"/>
              <w:rPr>
                <w:rFonts w:asciiTheme="majorHAnsi" w:hAnsiTheme="majorHAnsi" w:cstheme="majorHAnsi"/>
                <w:sz w:val="20"/>
                <w:szCs w:val="22"/>
                <w:lang w:val="en-GB"/>
              </w:rPr>
            </w:pPr>
            <w:r w:rsidRPr="006D55BB">
              <w:rPr>
                <w:rFonts w:asciiTheme="majorHAnsi" w:hAnsiTheme="majorHAnsi" w:cstheme="majorHAnsi"/>
                <w:sz w:val="20"/>
                <w:szCs w:val="22"/>
                <w:lang w:val="en-GB"/>
              </w:rPr>
              <w:t>Art. 10</w:t>
            </w:r>
          </w:p>
        </w:tc>
        <w:tc>
          <w:tcPr>
            <w:tcW w:w="4111" w:type="dxa"/>
          </w:tcPr>
          <w:p w:rsidR="005C1661" w:rsidRPr="006D55BB" w:rsidRDefault="005C1661" w:rsidP="00B7304B">
            <w:pPr>
              <w:tabs>
                <w:tab w:val="left" w:pos="426"/>
              </w:tabs>
              <w:ind w:right="140"/>
              <w:jc w:val="both"/>
              <w:rPr>
                <w:rFonts w:asciiTheme="majorHAnsi" w:hAnsiTheme="majorHAnsi" w:cstheme="majorHAnsi"/>
                <w:sz w:val="20"/>
                <w:szCs w:val="22"/>
                <w:lang w:val="en-GB"/>
              </w:rPr>
            </w:pPr>
            <w:r w:rsidRPr="006D55BB">
              <w:rPr>
                <w:rFonts w:asciiTheme="majorHAnsi" w:hAnsiTheme="majorHAnsi" w:cstheme="majorHAnsi"/>
                <w:sz w:val="20"/>
                <w:szCs w:val="22"/>
                <w:lang w:val="en-GB"/>
              </w:rPr>
              <w:t>Composition of the Cover Pool</w:t>
            </w:r>
          </w:p>
        </w:tc>
        <w:tc>
          <w:tcPr>
            <w:tcW w:w="4529" w:type="dxa"/>
          </w:tcPr>
          <w:p w:rsidR="005C1661" w:rsidRPr="006D55BB" w:rsidRDefault="00DD4D8C" w:rsidP="00B7304B">
            <w:pPr>
              <w:tabs>
                <w:tab w:val="left" w:pos="426"/>
              </w:tabs>
              <w:ind w:right="140"/>
              <w:jc w:val="both"/>
              <w:rPr>
                <w:lang w:val="en-GB"/>
              </w:rPr>
            </w:pPr>
            <w:hyperlink w:anchor="_Germany" w:history="1">
              <w:r w:rsidR="005C1661" w:rsidRPr="006D55BB">
                <w:rPr>
                  <w:rStyle w:val="Hyperlink"/>
                  <w:rFonts w:asciiTheme="majorHAnsi" w:hAnsiTheme="majorHAnsi" w:cstheme="majorHAnsi"/>
                  <w:sz w:val="20"/>
                  <w:szCs w:val="22"/>
                  <w:lang w:val="en-GB"/>
                </w:rPr>
                <w:t>France</w:t>
              </w:r>
            </w:hyperlink>
            <w:r w:rsidR="002E1FE8" w:rsidRPr="006D55BB">
              <w:rPr>
                <w:rStyle w:val="Hyperlink"/>
                <w:rFonts w:asciiTheme="majorHAnsi" w:hAnsiTheme="majorHAnsi" w:cstheme="majorHAnsi"/>
                <w:sz w:val="20"/>
                <w:szCs w:val="22"/>
                <w:lang w:val="en-GB"/>
              </w:rPr>
              <w:t xml:space="preserve">, </w:t>
            </w:r>
            <w:hyperlink w:anchor="_Hungary" w:history="1">
              <w:r w:rsidR="002E1FE8" w:rsidRPr="006D55BB">
                <w:rPr>
                  <w:rStyle w:val="Hyperlink"/>
                  <w:rFonts w:asciiTheme="majorHAnsi" w:hAnsiTheme="majorHAnsi" w:cstheme="majorHAnsi"/>
                  <w:sz w:val="20"/>
                  <w:szCs w:val="22"/>
                  <w:lang w:val="en-GB"/>
                </w:rPr>
                <w:t>Hungary</w:t>
              </w:r>
            </w:hyperlink>
            <w:r w:rsidR="009B13C9" w:rsidRPr="006D55BB">
              <w:rPr>
                <w:rStyle w:val="Hyperlink"/>
                <w:rFonts w:asciiTheme="majorHAnsi" w:hAnsiTheme="majorHAnsi" w:cstheme="majorHAnsi"/>
                <w:sz w:val="20"/>
                <w:szCs w:val="22"/>
                <w:lang w:val="en-GB"/>
              </w:rPr>
              <w:t xml:space="preserve">, </w:t>
            </w:r>
            <w:hyperlink w:anchor="_Denmark" w:history="1">
              <w:r w:rsidR="009B13C9" w:rsidRPr="006D55BB">
                <w:rPr>
                  <w:rStyle w:val="Hyperlink"/>
                  <w:rFonts w:asciiTheme="majorHAnsi" w:hAnsiTheme="majorHAnsi" w:cstheme="majorHAnsi"/>
                  <w:sz w:val="20"/>
                  <w:szCs w:val="20"/>
                  <w:lang w:val="en-GB"/>
                </w:rPr>
                <w:t>Denmark</w:t>
              </w:r>
            </w:hyperlink>
          </w:p>
        </w:tc>
      </w:tr>
      <w:tr w:rsidR="005539F8" w:rsidRPr="006D55BB" w:rsidTr="005C1661">
        <w:tc>
          <w:tcPr>
            <w:tcW w:w="1413" w:type="dxa"/>
          </w:tcPr>
          <w:p w:rsidR="005539F8" w:rsidRPr="006D55BB" w:rsidRDefault="005539F8" w:rsidP="00B7304B">
            <w:pPr>
              <w:tabs>
                <w:tab w:val="left" w:pos="426"/>
              </w:tabs>
              <w:ind w:right="140"/>
              <w:jc w:val="both"/>
              <w:rPr>
                <w:rFonts w:asciiTheme="majorHAnsi" w:hAnsiTheme="majorHAnsi" w:cstheme="majorHAnsi"/>
                <w:sz w:val="20"/>
                <w:szCs w:val="22"/>
                <w:lang w:val="en-GB"/>
              </w:rPr>
            </w:pPr>
            <w:r w:rsidRPr="006D55BB">
              <w:rPr>
                <w:rFonts w:asciiTheme="majorHAnsi" w:hAnsiTheme="majorHAnsi" w:cstheme="majorHAnsi"/>
                <w:sz w:val="20"/>
                <w:szCs w:val="22"/>
                <w:lang w:val="en-GB"/>
              </w:rPr>
              <w:t>Art. 11</w:t>
            </w:r>
          </w:p>
        </w:tc>
        <w:tc>
          <w:tcPr>
            <w:tcW w:w="4111" w:type="dxa"/>
          </w:tcPr>
          <w:p w:rsidR="005539F8" w:rsidRPr="006D55BB" w:rsidRDefault="005539F8" w:rsidP="00B7304B">
            <w:pPr>
              <w:tabs>
                <w:tab w:val="left" w:pos="426"/>
              </w:tabs>
              <w:ind w:right="140"/>
              <w:jc w:val="both"/>
              <w:rPr>
                <w:rFonts w:asciiTheme="majorHAnsi" w:hAnsiTheme="majorHAnsi" w:cstheme="majorHAnsi"/>
                <w:sz w:val="20"/>
                <w:szCs w:val="22"/>
                <w:lang w:val="en-GB"/>
              </w:rPr>
            </w:pPr>
            <w:r w:rsidRPr="006D55BB">
              <w:rPr>
                <w:rFonts w:asciiTheme="majorHAnsi" w:hAnsiTheme="majorHAnsi" w:cstheme="majorHAnsi"/>
                <w:sz w:val="20"/>
                <w:szCs w:val="22"/>
                <w:lang w:val="en-GB"/>
              </w:rPr>
              <w:t>Derivative contracts in the cover pool</w:t>
            </w:r>
          </w:p>
        </w:tc>
        <w:tc>
          <w:tcPr>
            <w:tcW w:w="4529" w:type="dxa"/>
          </w:tcPr>
          <w:p w:rsidR="005539F8" w:rsidRPr="006D55BB" w:rsidRDefault="00DD4D8C" w:rsidP="00B7304B">
            <w:pPr>
              <w:tabs>
                <w:tab w:val="left" w:pos="426"/>
              </w:tabs>
              <w:ind w:right="140"/>
              <w:jc w:val="both"/>
              <w:rPr>
                <w:rFonts w:asciiTheme="majorHAnsi" w:hAnsiTheme="majorHAnsi" w:cstheme="majorHAnsi"/>
                <w:sz w:val="20"/>
                <w:szCs w:val="20"/>
                <w:lang w:val="en-GB"/>
              </w:rPr>
            </w:pPr>
            <w:hyperlink w:anchor="_Germany" w:history="1">
              <w:r w:rsidR="00724AC0" w:rsidRPr="006D55BB">
                <w:rPr>
                  <w:rStyle w:val="Hyperlink"/>
                  <w:rFonts w:asciiTheme="majorHAnsi" w:hAnsiTheme="majorHAnsi" w:cstheme="majorHAnsi"/>
                  <w:sz w:val="20"/>
                  <w:szCs w:val="22"/>
                  <w:lang w:val="en-GB"/>
                </w:rPr>
                <w:t>Finland</w:t>
              </w:r>
            </w:hyperlink>
            <w:r w:rsidR="00724AC0" w:rsidRPr="006D55BB">
              <w:rPr>
                <w:rFonts w:asciiTheme="majorHAnsi" w:hAnsiTheme="majorHAnsi" w:cstheme="majorHAnsi"/>
                <w:sz w:val="20"/>
                <w:szCs w:val="22"/>
                <w:lang w:val="en-GB"/>
              </w:rPr>
              <w:t>,</w:t>
            </w:r>
            <w:r w:rsidR="00724AC0" w:rsidRPr="006D55BB">
              <w:rPr>
                <w:lang w:val="en-GB"/>
              </w:rPr>
              <w:t xml:space="preserve"> </w:t>
            </w:r>
            <w:hyperlink w:anchor="_France" w:history="1">
              <w:r w:rsidR="0062363C" w:rsidRPr="006D55BB">
                <w:rPr>
                  <w:rStyle w:val="Hyperlink"/>
                  <w:rFonts w:asciiTheme="majorHAnsi" w:hAnsiTheme="majorHAnsi" w:cstheme="majorHAnsi"/>
                  <w:sz w:val="20"/>
                  <w:szCs w:val="20"/>
                  <w:lang w:val="en-GB"/>
                </w:rPr>
                <w:t>France</w:t>
              </w:r>
            </w:hyperlink>
            <w:r w:rsidR="0062363C" w:rsidRPr="006D55BB">
              <w:rPr>
                <w:rFonts w:asciiTheme="majorHAnsi" w:hAnsiTheme="majorHAnsi" w:cstheme="majorHAnsi"/>
                <w:sz w:val="20"/>
                <w:szCs w:val="20"/>
                <w:lang w:val="en-GB"/>
              </w:rPr>
              <w:t>,</w:t>
            </w:r>
            <w:r w:rsidR="001A0C25" w:rsidRPr="006D55BB">
              <w:rPr>
                <w:rFonts w:asciiTheme="majorHAnsi" w:hAnsiTheme="majorHAnsi" w:cstheme="majorHAnsi"/>
                <w:sz w:val="20"/>
                <w:szCs w:val="20"/>
                <w:lang w:val="en-GB"/>
              </w:rPr>
              <w:t xml:space="preserve"> </w:t>
            </w:r>
            <w:hyperlink w:anchor="_Poland" w:history="1">
              <w:r w:rsidR="001A0C25" w:rsidRPr="006D55BB">
                <w:rPr>
                  <w:rStyle w:val="Hyperlink"/>
                  <w:rFonts w:asciiTheme="majorHAnsi" w:hAnsiTheme="majorHAnsi" w:cstheme="majorHAnsi"/>
                  <w:sz w:val="20"/>
                  <w:szCs w:val="20"/>
                  <w:lang w:val="en-GB"/>
                </w:rPr>
                <w:t>Norway</w:t>
              </w:r>
            </w:hyperlink>
            <w:r w:rsidR="001A0C25" w:rsidRPr="006D55BB">
              <w:rPr>
                <w:rFonts w:asciiTheme="majorHAnsi" w:hAnsiTheme="majorHAnsi" w:cstheme="majorHAnsi"/>
                <w:sz w:val="20"/>
                <w:szCs w:val="20"/>
                <w:lang w:val="en-GB"/>
              </w:rPr>
              <w:t>,</w:t>
            </w:r>
            <w:r w:rsidR="0062363C" w:rsidRPr="006D55BB">
              <w:rPr>
                <w:rFonts w:asciiTheme="majorHAnsi" w:hAnsiTheme="majorHAnsi" w:cstheme="majorHAnsi"/>
                <w:sz w:val="20"/>
                <w:szCs w:val="20"/>
                <w:lang w:val="en-GB"/>
              </w:rPr>
              <w:t xml:space="preserve"> </w:t>
            </w:r>
            <w:hyperlink w:anchor="_Italy" w:history="1">
              <w:r w:rsidR="0062363C" w:rsidRPr="006D55BB">
                <w:rPr>
                  <w:rStyle w:val="Hyperlink"/>
                  <w:rFonts w:asciiTheme="majorHAnsi" w:hAnsiTheme="majorHAnsi" w:cstheme="majorHAnsi"/>
                  <w:sz w:val="20"/>
                  <w:szCs w:val="20"/>
                  <w:lang w:val="en-GB"/>
                </w:rPr>
                <w:t>Italy</w:t>
              </w:r>
            </w:hyperlink>
            <w:r w:rsidR="005C1661" w:rsidRPr="006D55BB">
              <w:rPr>
                <w:rFonts w:asciiTheme="majorHAnsi" w:hAnsiTheme="majorHAnsi" w:cstheme="majorHAnsi"/>
                <w:sz w:val="20"/>
                <w:szCs w:val="22"/>
                <w:lang w:val="en-GB"/>
              </w:rPr>
              <w:t xml:space="preserve">, </w:t>
            </w:r>
            <w:hyperlink w:anchor="_Ireland_–_TBC" w:history="1">
              <w:r w:rsidR="00E26DAD" w:rsidRPr="006D55BB">
                <w:rPr>
                  <w:rStyle w:val="Hyperlink"/>
                  <w:rFonts w:asciiTheme="majorHAnsi" w:hAnsiTheme="majorHAnsi" w:cstheme="majorHAnsi"/>
                  <w:sz w:val="20"/>
                  <w:szCs w:val="22"/>
                  <w:lang w:val="en-GB"/>
                </w:rPr>
                <w:t>Ireland</w:t>
              </w:r>
            </w:hyperlink>
          </w:p>
        </w:tc>
      </w:tr>
      <w:tr w:rsidR="005539F8" w:rsidRPr="000261CA" w:rsidTr="005C1661">
        <w:tc>
          <w:tcPr>
            <w:tcW w:w="1413" w:type="dxa"/>
          </w:tcPr>
          <w:p w:rsidR="005539F8" w:rsidRPr="006D55BB" w:rsidRDefault="005539F8" w:rsidP="00B7304B">
            <w:pPr>
              <w:tabs>
                <w:tab w:val="left" w:pos="426"/>
              </w:tabs>
              <w:ind w:right="140"/>
              <w:jc w:val="both"/>
              <w:rPr>
                <w:rFonts w:asciiTheme="majorHAnsi" w:hAnsiTheme="majorHAnsi" w:cstheme="majorHAnsi"/>
                <w:sz w:val="20"/>
                <w:szCs w:val="22"/>
                <w:lang w:val="en-GB"/>
              </w:rPr>
            </w:pPr>
            <w:r w:rsidRPr="006D55BB">
              <w:rPr>
                <w:rFonts w:asciiTheme="majorHAnsi" w:hAnsiTheme="majorHAnsi" w:cstheme="majorHAnsi"/>
                <w:sz w:val="20"/>
                <w:szCs w:val="22"/>
                <w:lang w:val="en-GB"/>
              </w:rPr>
              <w:t>Art. 15</w:t>
            </w:r>
          </w:p>
        </w:tc>
        <w:tc>
          <w:tcPr>
            <w:tcW w:w="4111" w:type="dxa"/>
          </w:tcPr>
          <w:p w:rsidR="005539F8" w:rsidRPr="006D55BB" w:rsidRDefault="005539F8" w:rsidP="00B7304B">
            <w:pPr>
              <w:tabs>
                <w:tab w:val="left" w:pos="426"/>
              </w:tabs>
              <w:ind w:right="140"/>
              <w:jc w:val="both"/>
              <w:rPr>
                <w:rFonts w:asciiTheme="majorHAnsi" w:hAnsiTheme="majorHAnsi" w:cstheme="majorHAnsi"/>
                <w:sz w:val="20"/>
                <w:szCs w:val="22"/>
                <w:lang w:val="en-GB"/>
              </w:rPr>
            </w:pPr>
            <w:r w:rsidRPr="006D55BB">
              <w:rPr>
                <w:rFonts w:asciiTheme="majorHAnsi" w:hAnsiTheme="majorHAnsi" w:cstheme="majorHAnsi"/>
                <w:sz w:val="20"/>
                <w:szCs w:val="22"/>
                <w:lang w:val="en-GB"/>
              </w:rPr>
              <w:t>Requirements for coverage</w:t>
            </w:r>
          </w:p>
        </w:tc>
        <w:tc>
          <w:tcPr>
            <w:tcW w:w="4529" w:type="dxa"/>
          </w:tcPr>
          <w:p w:rsidR="005539F8" w:rsidRPr="006D55BB" w:rsidRDefault="00DD4D8C" w:rsidP="00B7304B">
            <w:pPr>
              <w:tabs>
                <w:tab w:val="left" w:pos="426"/>
              </w:tabs>
              <w:ind w:right="140"/>
              <w:jc w:val="both"/>
              <w:rPr>
                <w:rFonts w:asciiTheme="majorHAnsi" w:hAnsiTheme="majorHAnsi" w:cstheme="majorHAnsi"/>
                <w:sz w:val="20"/>
                <w:szCs w:val="20"/>
                <w:lang w:val="en-GB"/>
              </w:rPr>
            </w:pPr>
            <w:hyperlink w:anchor="_Denmark" w:history="1">
              <w:r w:rsidR="004B65C3" w:rsidRPr="006D55BB">
                <w:rPr>
                  <w:rStyle w:val="Hyperlink"/>
                  <w:rFonts w:asciiTheme="majorHAnsi" w:hAnsiTheme="majorHAnsi" w:cstheme="majorHAnsi"/>
                  <w:sz w:val="20"/>
                  <w:szCs w:val="22"/>
                  <w:lang w:val="en-GB"/>
                </w:rPr>
                <w:t>Denmark</w:t>
              </w:r>
            </w:hyperlink>
            <w:r w:rsidR="004B65C3" w:rsidRPr="006D55BB">
              <w:rPr>
                <w:rFonts w:asciiTheme="majorHAnsi" w:hAnsiTheme="majorHAnsi" w:cstheme="majorHAnsi"/>
                <w:sz w:val="20"/>
                <w:szCs w:val="22"/>
                <w:lang w:val="en-GB"/>
              </w:rPr>
              <w:t>,</w:t>
            </w:r>
            <w:r w:rsidR="004B65C3" w:rsidRPr="006D55BB">
              <w:rPr>
                <w:lang w:val="en-GB"/>
              </w:rPr>
              <w:t xml:space="preserve"> </w:t>
            </w:r>
            <w:hyperlink w:anchor="_Germany" w:history="1">
              <w:r w:rsidR="0062363C" w:rsidRPr="006D55BB">
                <w:rPr>
                  <w:rStyle w:val="Hyperlink"/>
                  <w:rFonts w:asciiTheme="majorHAnsi" w:hAnsiTheme="majorHAnsi" w:cstheme="majorHAnsi"/>
                  <w:sz w:val="20"/>
                  <w:szCs w:val="20"/>
                  <w:lang w:val="en-GB"/>
                </w:rPr>
                <w:t>France</w:t>
              </w:r>
            </w:hyperlink>
            <w:r w:rsidR="0062363C" w:rsidRPr="006D55BB">
              <w:rPr>
                <w:rFonts w:asciiTheme="majorHAnsi" w:hAnsiTheme="majorHAnsi" w:cstheme="majorHAnsi"/>
                <w:sz w:val="20"/>
                <w:szCs w:val="20"/>
                <w:lang w:val="en-GB"/>
              </w:rPr>
              <w:t>,</w:t>
            </w:r>
            <w:r w:rsidR="001A0C25" w:rsidRPr="006D55BB">
              <w:rPr>
                <w:rFonts w:asciiTheme="majorHAnsi" w:hAnsiTheme="majorHAnsi" w:cstheme="majorHAnsi"/>
                <w:sz w:val="20"/>
                <w:szCs w:val="20"/>
                <w:lang w:val="en-GB"/>
              </w:rPr>
              <w:t xml:space="preserve"> </w:t>
            </w:r>
            <w:hyperlink w:anchor="_Poland" w:history="1">
              <w:r w:rsidR="001A0C25" w:rsidRPr="006D55BB">
                <w:rPr>
                  <w:rStyle w:val="Hyperlink"/>
                  <w:rFonts w:asciiTheme="majorHAnsi" w:hAnsiTheme="majorHAnsi" w:cstheme="majorHAnsi"/>
                  <w:sz w:val="20"/>
                  <w:szCs w:val="20"/>
                  <w:lang w:val="en-GB"/>
                </w:rPr>
                <w:t>Norway</w:t>
              </w:r>
            </w:hyperlink>
            <w:r w:rsidR="001A0C25" w:rsidRPr="006D55BB">
              <w:rPr>
                <w:rFonts w:asciiTheme="majorHAnsi" w:hAnsiTheme="majorHAnsi" w:cstheme="majorHAnsi"/>
                <w:sz w:val="20"/>
                <w:szCs w:val="20"/>
                <w:lang w:val="en-GB"/>
              </w:rPr>
              <w:t>,</w:t>
            </w:r>
            <w:r w:rsidR="0062363C" w:rsidRPr="006D55BB">
              <w:rPr>
                <w:rFonts w:asciiTheme="majorHAnsi" w:hAnsiTheme="majorHAnsi" w:cstheme="majorHAnsi"/>
                <w:sz w:val="20"/>
                <w:szCs w:val="20"/>
                <w:lang w:val="en-GB"/>
              </w:rPr>
              <w:t xml:space="preserve"> </w:t>
            </w:r>
            <w:hyperlink w:anchor="_United_Kingdom" w:history="1">
              <w:r w:rsidR="0062363C" w:rsidRPr="006D55BB">
                <w:rPr>
                  <w:rStyle w:val="Hyperlink"/>
                  <w:rFonts w:asciiTheme="majorHAnsi" w:hAnsiTheme="majorHAnsi" w:cstheme="majorHAnsi"/>
                  <w:sz w:val="20"/>
                  <w:szCs w:val="20"/>
                  <w:lang w:val="en-GB"/>
                </w:rPr>
                <w:t>UK</w:t>
              </w:r>
            </w:hyperlink>
            <w:r w:rsidR="009B13C9" w:rsidRPr="006D55BB">
              <w:rPr>
                <w:rStyle w:val="Hyperlink"/>
                <w:rFonts w:asciiTheme="majorHAnsi" w:hAnsiTheme="majorHAnsi" w:cstheme="majorHAnsi"/>
                <w:sz w:val="20"/>
                <w:szCs w:val="20"/>
                <w:lang w:val="en-GB"/>
              </w:rPr>
              <w:t xml:space="preserve">, </w:t>
            </w:r>
            <w:hyperlink w:anchor="_Poland" w:history="1">
              <w:r w:rsidR="009B13C9" w:rsidRPr="006D55BB">
                <w:rPr>
                  <w:rStyle w:val="Hyperlink"/>
                  <w:rFonts w:asciiTheme="majorHAnsi" w:hAnsiTheme="majorHAnsi" w:cstheme="majorHAnsi"/>
                  <w:sz w:val="20"/>
                  <w:szCs w:val="20"/>
                  <w:lang w:val="en-GB"/>
                </w:rPr>
                <w:t>Poland</w:t>
              </w:r>
            </w:hyperlink>
          </w:p>
        </w:tc>
      </w:tr>
      <w:tr w:rsidR="005539F8" w:rsidRPr="000261CA" w:rsidTr="005C1661">
        <w:tc>
          <w:tcPr>
            <w:tcW w:w="1413" w:type="dxa"/>
          </w:tcPr>
          <w:p w:rsidR="005539F8" w:rsidRPr="006D55BB" w:rsidRDefault="005539F8" w:rsidP="00B7304B">
            <w:pPr>
              <w:tabs>
                <w:tab w:val="left" w:pos="426"/>
              </w:tabs>
              <w:ind w:right="140"/>
              <w:jc w:val="both"/>
              <w:rPr>
                <w:rFonts w:asciiTheme="majorHAnsi" w:hAnsiTheme="majorHAnsi" w:cstheme="majorHAnsi"/>
                <w:sz w:val="20"/>
                <w:szCs w:val="22"/>
                <w:lang w:val="en-GB"/>
              </w:rPr>
            </w:pPr>
            <w:r w:rsidRPr="006D55BB">
              <w:rPr>
                <w:rFonts w:asciiTheme="majorHAnsi" w:hAnsiTheme="majorHAnsi" w:cstheme="majorHAnsi"/>
                <w:sz w:val="20"/>
                <w:szCs w:val="22"/>
                <w:lang w:val="en-GB"/>
              </w:rPr>
              <w:t>Art. 16</w:t>
            </w:r>
          </w:p>
        </w:tc>
        <w:tc>
          <w:tcPr>
            <w:tcW w:w="4111" w:type="dxa"/>
          </w:tcPr>
          <w:p w:rsidR="005539F8" w:rsidRPr="006D55BB" w:rsidRDefault="005539F8" w:rsidP="00492370">
            <w:pPr>
              <w:tabs>
                <w:tab w:val="left" w:pos="426"/>
              </w:tabs>
              <w:ind w:right="140"/>
              <w:rPr>
                <w:rFonts w:asciiTheme="majorHAnsi" w:hAnsiTheme="majorHAnsi" w:cstheme="majorHAnsi"/>
                <w:sz w:val="20"/>
                <w:szCs w:val="22"/>
                <w:lang w:val="en-GB"/>
              </w:rPr>
            </w:pPr>
            <w:r w:rsidRPr="006D55BB">
              <w:rPr>
                <w:rFonts w:asciiTheme="majorHAnsi" w:hAnsiTheme="majorHAnsi" w:cstheme="majorHAnsi"/>
                <w:sz w:val="20"/>
                <w:szCs w:val="22"/>
                <w:lang w:val="en-GB"/>
              </w:rPr>
              <w:t>Requirements for a cover pool liquidity buffer</w:t>
            </w:r>
          </w:p>
        </w:tc>
        <w:tc>
          <w:tcPr>
            <w:tcW w:w="4529" w:type="dxa"/>
          </w:tcPr>
          <w:p w:rsidR="005539F8" w:rsidRPr="006D55BB" w:rsidRDefault="00DD4D8C" w:rsidP="00B7304B">
            <w:pPr>
              <w:tabs>
                <w:tab w:val="left" w:pos="426"/>
              </w:tabs>
              <w:ind w:right="140"/>
              <w:jc w:val="both"/>
              <w:rPr>
                <w:rFonts w:asciiTheme="majorHAnsi" w:hAnsiTheme="majorHAnsi" w:cstheme="majorHAnsi"/>
                <w:sz w:val="20"/>
                <w:szCs w:val="20"/>
                <w:lang w:val="en-GB"/>
              </w:rPr>
            </w:pPr>
            <w:hyperlink w:anchor="_Germany" w:history="1">
              <w:r w:rsidR="00724AC0" w:rsidRPr="006D55BB">
                <w:rPr>
                  <w:rStyle w:val="Hyperlink"/>
                  <w:rFonts w:asciiTheme="majorHAnsi" w:hAnsiTheme="majorHAnsi" w:cstheme="majorHAnsi"/>
                  <w:sz w:val="20"/>
                  <w:szCs w:val="22"/>
                  <w:lang w:val="en-GB"/>
                </w:rPr>
                <w:t>Finland</w:t>
              </w:r>
            </w:hyperlink>
            <w:r w:rsidR="00724AC0" w:rsidRPr="006D55BB">
              <w:rPr>
                <w:rFonts w:asciiTheme="majorHAnsi" w:hAnsiTheme="majorHAnsi" w:cstheme="majorHAnsi"/>
                <w:sz w:val="20"/>
                <w:szCs w:val="22"/>
                <w:lang w:val="en-GB"/>
              </w:rPr>
              <w:t>,</w:t>
            </w:r>
            <w:r w:rsidR="00724AC0" w:rsidRPr="006D55BB">
              <w:rPr>
                <w:lang w:val="en-GB"/>
              </w:rPr>
              <w:t xml:space="preserve"> </w:t>
            </w:r>
            <w:hyperlink w:anchor="_Germany" w:history="1">
              <w:r w:rsidR="0062363C" w:rsidRPr="006D55BB">
                <w:rPr>
                  <w:rStyle w:val="Hyperlink"/>
                  <w:rFonts w:asciiTheme="majorHAnsi" w:hAnsiTheme="majorHAnsi" w:cstheme="majorHAnsi"/>
                  <w:sz w:val="20"/>
                  <w:szCs w:val="20"/>
                  <w:lang w:val="en-GB"/>
                </w:rPr>
                <w:t>France</w:t>
              </w:r>
            </w:hyperlink>
            <w:r w:rsidR="0062363C" w:rsidRPr="006D55BB">
              <w:rPr>
                <w:rFonts w:asciiTheme="majorHAnsi" w:hAnsiTheme="majorHAnsi" w:cstheme="majorHAnsi"/>
                <w:sz w:val="20"/>
                <w:szCs w:val="20"/>
                <w:lang w:val="en-GB"/>
              </w:rPr>
              <w:t>,</w:t>
            </w:r>
            <w:r w:rsidR="002E1FE8" w:rsidRPr="006D55BB">
              <w:rPr>
                <w:rFonts w:asciiTheme="majorHAnsi" w:hAnsiTheme="majorHAnsi" w:cstheme="majorHAnsi"/>
                <w:sz w:val="20"/>
                <w:szCs w:val="20"/>
                <w:lang w:val="en-GB"/>
              </w:rPr>
              <w:t xml:space="preserve"> </w:t>
            </w:r>
            <w:hyperlink w:anchor="_Italy" w:history="1">
              <w:r w:rsidR="002E1FE8" w:rsidRPr="006D55BB">
                <w:rPr>
                  <w:rStyle w:val="Hyperlink"/>
                  <w:rFonts w:asciiTheme="majorHAnsi" w:hAnsiTheme="majorHAnsi" w:cstheme="majorHAnsi"/>
                  <w:sz w:val="20"/>
                  <w:szCs w:val="20"/>
                  <w:lang w:val="en-GB"/>
                </w:rPr>
                <w:t>Hungary</w:t>
              </w:r>
            </w:hyperlink>
            <w:r w:rsidR="002E1FE8" w:rsidRPr="006D55BB">
              <w:rPr>
                <w:rFonts w:asciiTheme="majorHAnsi" w:hAnsiTheme="majorHAnsi" w:cstheme="majorHAnsi"/>
                <w:sz w:val="20"/>
                <w:szCs w:val="20"/>
                <w:lang w:val="en-GB"/>
              </w:rPr>
              <w:t>,</w:t>
            </w:r>
            <w:r w:rsidR="0062363C" w:rsidRPr="006D55BB">
              <w:rPr>
                <w:rFonts w:asciiTheme="majorHAnsi" w:hAnsiTheme="majorHAnsi" w:cstheme="majorHAnsi"/>
                <w:sz w:val="20"/>
                <w:szCs w:val="20"/>
                <w:lang w:val="en-GB"/>
              </w:rPr>
              <w:t xml:space="preserve"> </w:t>
            </w:r>
            <w:hyperlink w:anchor="_Italy" w:history="1">
              <w:r w:rsidR="0062363C" w:rsidRPr="006D55BB">
                <w:rPr>
                  <w:rStyle w:val="Hyperlink"/>
                  <w:rFonts w:asciiTheme="majorHAnsi" w:hAnsiTheme="majorHAnsi" w:cstheme="majorHAnsi"/>
                  <w:sz w:val="20"/>
                  <w:szCs w:val="20"/>
                  <w:lang w:val="en-GB"/>
                </w:rPr>
                <w:t>Italy</w:t>
              </w:r>
            </w:hyperlink>
            <w:r w:rsidR="0062363C" w:rsidRPr="006D55BB">
              <w:rPr>
                <w:rFonts w:asciiTheme="majorHAnsi" w:hAnsiTheme="majorHAnsi" w:cstheme="majorHAnsi"/>
                <w:sz w:val="20"/>
                <w:szCs w:val="20"/>
                <w:lang w:val="en-GB"/>
              </w:rPr>
              <w:t>,</w:t>
            </w:r>
            <w:r w:rsidR="001A0C25" w:rsidRPr="006D55BB">
              <w:rPr>
                <w:rFonts w:asciiTheme="majorHAnsi" w:hAnsiTheme="majorHAnsi" w:cstheme="majorHAnsi"/>
                <w:sz w:val="20"/>
                <w:szCs w:val="20"/>
                <w:lang w:val="en-GB"/>
              </w:rPr>
              <w:t xml:space="preserve"> </w:t>
            </w:r>
            <w:hyperlink w:anchor="_Poland" w:history="1">
              <w:r w:rsidR="001A0C25" w:rsidRPr="006D55BB">
                <w:rPr>
                  <w:rStyle w:val="Hyperlink"/>
                  <w:rFonts w:asciiTheme="majorHAnsi" w:hAnsiTheme="majorHAnsi" w:cstheme="majorHAnsi"/>
                  <w:sz w:val="20"/>
                  <w:szCs w:val="20"/>
                  <w:lang w:val="en-GB"/>
                </w:rPr>
                <w:t>Norway</w:t>
              </w:r>
            </w:hyperlink>
            <w:r w:rsidR="001A0C25" w:rsidRPr="006D55BB">
              <w:rPr>
                <w:rFonts w:asciiTheme="majorHAnsi" w:hAnsiTheme="majorHAnsi" w:cstheme="majorHAnsi"/>
                <w:sz w:val="20"/>
                <w:szCs w:val="20"/>
                <w:lang w:val="en-GB"/>
              </w:rPr>
              <w:t>,</w:t>
            </w:r>
            <w:r w:rsidR="0062363C" w:rsidRPr="006D55BB">
              <w:rPr>
                <w:rFonts w:asciiTheme="majorHAnsi" w:hAnsiTheme="majorHAnsi" w:cstheme="majorHAnsi"/>
                <w:sz w:val="20"/>
                <w:szCs w:val="20"/>
                <w:lang w:val="en-GB"/>
              </w:rPr>
              <w:t xml:space="preserve"> </w:t>
            </w:r>
            <w:hyperlink w:anchor="_Sweden" w:history="1">
              <w:r w:rsidR="0062363C" w:rsidRPr="006D55BB">
                <w:rPr>
                  <w:rStyle w:val="Hyperlink"/>
                  <w:rFonts w:asciiTheme="majorHAnsi" w:hAnsiTheme="majorHAnsi" w:cstheme="majorHAnsi"/>
                  <w:sz w:val="20"/>
                  <w:szCs w:val="20"/>
                  <w:lang w:val="en-GB"/>
                </w:rPr>
                <w:t>Sweden</w:t>
              </w:r>
            </w:hyperlink>
            <w:r w:rsidR="00E26DAD" w:rsidRPr="006D55BB">
              <w:rPr>
                <w:rStyle w:val="Hyperlink"/>
                <w:rFonts w:asciiTheme="majorHAnsi" w:hAnsiTheme="majorHAnsi" w:cstheme="majorHAnsi"/>
                <w:sz w:val="20"/>
                <w:szCs w:val="20"/>
                <w:lang w:val="en-GB"/>
              </w:rPr>
              <w:t xml:space="preserve">, </w:t>
            </w:r>
            <w:hyperlink w:anchor="_Ireland_–_TBC" w:history="1">
              <w:r w:rsidR="00E26DAD" w:rsidRPr="006D55BB">
                <w:rPr>
                  <w:rStyle w:val="Hyperlink"/>
                  <w:rFonts w:asciiTheme="majorHAnsi" w:hAnsiTheme="majorHAnsi" w:cstheme="majorHAnsi"/>
                  <w:sz w:val="20"/>
                  <w:szCs w:val="22"/>
                  <w:lang w:val="en-GB"/>
                </w:rPr>
                <w:t>Ireland</w:t>
              </w:r>
            </w:hyperlink>
          </w:p>
        </w:tc>
      </w:tr>
      <w:tr w:rsidR="005539F8" w:rsidRPr="006D55BB" w:rsidTr="005C1661">
        <w:tc>
          <w:tcPr>
            <w:tcW w:w="1413" w:type="dxa"/>
          </w:tcPr>
          <w:p w:rsidR="005539F8" w:rsidRPr="006D55BB" w:rsidRDefault="005539F8" w:rsidP="00B7304B">
            <w:pPr>
              <w:tabs>
                <w:tab w:val="left" w:pos="426"/>
              </w:tabs>
              <w:ind w:right="140"/>
              <w:jc w:val="both"/>
              <w:rPr>
                <w:rFonts w:asciiTheme="majorHAnsi" w:hAnsiTheme="majorHAnsi" w:cstheme="majorHAnsi"/>
                <w:sz w:val="20"/>
                <w:szCs w:val="22"/>
                <w:lang w:val="en-GB"/>
              </w:rPr>
            </w:pPr>
            <w:r w:rsidRPr="006D55BB">
              <w:rPr>
                <w:rFonts w:asciiTheme="majorHAnsi" w:hAnsiTheme="majorHAnsi" w:cstheme="majorHAnsi"/>
                <w:sz w:val="20"/>
                <w:szCs w:val="22"/>
                <w:lang w:val="en-GB"/>
              </w:rPr>
              <w:t>Art. 17</w:t>
            </w:r>
          </w:p>
        </w:tc>
        <w:tc>
          <w:tcPr>
            <w:tcW w:w="4111" w:type="dxa"/>
          </w:tcPr>
          <w:p w:rsidR="005539F8" w:rsidRPr="006D55BB" w:rsidRDefault="005539F8" w:rsidP="00492370">
            <w:pPr>
              <w:tabs>
                <w:tab w:val="left" w:pos="426"/>
              </w:tabs>
              <w:ind w:right="140"/>
              <w:rPr>
                <w:rFonts w:asciiTheme="majorHAnsi" w:hAnsiTheme="majorHAnsi" w:cstheme="majorHAnsi"/>
                <w:sz w:val="20"/>
                <w:szCs w:val="22"/>
                <w:lang w:val="en-GB"/>
              </w:rPr>
            </w:pPr>
            <w:r w:rsidRPr="006D55BB">
              <w:rPr>
                <w:rFonts w:asciiTheme="majorHAnsi" w:hAnsiTheme="majorHAnsi" w:cstheme="majorHAnsi"/>
                <w:sz w:val="20"/>
                <w:szCs w:val="22"/>
                <w:lang w:val="en-GB"/>
              </w:rPr>
              <w:t>Conditions for extendable maturity structures</w:t>
            </w:r>
          </w:p>
        </w:tc>
        <w:tc>
          <w:tcPr>
            <w:tcW w:w="4529" w:type="dxa"/>
          </w:tcPr>
          <w:p w:rsidR="005539F8" w:rsidRPr="006D55BB" w:rsidRDefault="00DD4D8C" w:rsidP="00B7304B">
            <w:pPr>
              <w:tabs>
                <w:tab w:val="left" w:pos="426"/>
              </w:tabs>
              <w:ind w:right="140"/>
              <w:jc w:val="both"/>
              <w:rPr>
                <w:rFonts w:asciiTheme="majorHAnsi" w:hAnsiTheme="majorHAnsi" w:cstheme="majorHAnsi"/>
                <w:sz w:val="20"/>
                <w:szCs w:val="20"/>
                <w:lang w:val="en-GB"/>
              </w:rPr>
            </w:pPr>
            <w:hyperlink w:anchor="_Germany" w:history="1">
              <w:r w:rsidR="00724AC0" w:rsidRPr="006D55BB">
                <w:rPr>
                  <w:rStyle w:val="Hyperlink"/>
                  <w:rFonts w:asciiTheme="majorHAnsi" w:hAnsiTheme="majorHAnsi" w:cstheme="majorHAnsi"/>
                  <w:sz w:val="20"/>
                  <w:szCs w:val="22"/>
                  <w:lang w:val="en-GB"/>
                </w:rPr>
                <w:t>Finland</w:t>
              </w:r>
            </w:hyperlink>
            <w:r w:rsidR="00724AC0" w:rsidRPr="006D55BB">
              <w:rPr>
                <w:rFonts w:asciiTheme="majorHAnsi" w:hAnsiTheme="majorHAnsi" w:cstheme="majorHAnsi"/>
                <w:sz w:val="20"/>
                <w:szCs w:val="22"/>
                <w:lang w:val="en-GB"/>
              </w:rPr>
              <w:t>,</w:t>
            </w:r>
            <w:r w:rsidR="00724AC0" w:rsidRPr="006D55BB">
              <w:rPr>
                <w:lang w:val="en-GB"/>
              </w:rPr>
              <w:t xml:space="preserve"> </w:t>
            </w:r>
            <w:hyperlink w:anchor="_Denmark" w:history="1">
              <w:r w:rsidR="00B90D7E" w:rsidRPr="006D55BB">
                <w:rPr>
                  <w:rStyle w:val="Hyperlink"/>
                  <w:rFonts w:asciiTheme="majorHAnsi" w:hAnsiTheme="majorHAnsi" w:cstheme="majorHAnsi"/>
                  <w:sz w:val="20"/>
                  <w:szCs w:val="20"/>
                  <w:lang w:val="en-GB"/>
                </w:rPr>
                <w:t>Denmark</w:t>
              </w:r>
            </w:hyperlink>
            <w:r w:rsidR="00B90D7E" w:rsidRPr="006D55BB">
              <w:rPr>
                <w:rFonts w:asciiTheme="majorHAnsi" w:hAnsiTheme="majorHAnsi" w:cstheme="majorHAnsi"/>
                <w:sz w:val="20"/>
                <w:szCs w:val="20"/>
                <w:lang w:val="en-GB"/>
              </w:rPr>
              <w:t xml:space="preserve">, </w:t>
            </w:r>
            <w:hyperlink w:anchor="_Germany" w:history="1">
              <w:r w:rsidR="0062363C" w:rsidRPr="006D55BB">
                <w:rPr>
                  <w:rStyle w:val="Hyperlink"/>
                  <w:rFonts w:asciiTheme="majorHAnsi" w:hAnsiTheme="majorHAnsi" w:cstheme="majorHAnsi"/>
                  <w:sz w:val="20"/>
                  <w:szCs w:val="20"/>
                  <w:lang w:val="en-GB"/>
                </w:rPr>
                <w:t>France</w:t>
              </w:r>
            </w:hyperlink>
            <w:r w:rsidR="00E962EB" w:rsidRPr="006D55BB">
              <w:rPr>
                <w:rFonts w:asciiTheme="majorHAnsi" w:hAnsiTheme="majorHAnsi" w:cstheme="majorHAnsi"/>
                <w:sz w:val="20"/>
                <w:szCs w:val="20"/>
                <w:lang w:val="en-GB"/>
              </w:rPr>
              <w:t xml:space="preserve">, </w:t>
            </w:r>
            <w:hyperlink w:anchor="_The_Netherlands" w:history="1">
              <w:r w:rsidR="00E962EB" w:rsidRPr="006D55BB">
                <w:rPr>
                  <w:rStyle w:val="Hyperlink"/>
                  <w:rFonts w:asciiTheme="majorHAnsi" w:hAnsiTheme="majorHAnsi" w:cstheme="majorHAnsi"/>
                  <w:sz w:val="20"/>
                  <w:szCs w:val="20"/>
                  <w:lang w:val="en-GB"/>
                </w:rPr>
                <w:t>Netherlands</w:t>
              </w:r>
            </w:hyperlink>
          </w:p>
        </w:tc>
      </w:tr>
      <w:tr w:rsidR="00CE7C23" w:rsidRPr="006D55BB" w:rsidTr="00F57824">
        <w:trPr>
          <w:trHeight w:val="70"/>
        </w:trPr>
        <w:tc>
          <w:tcPr>
            <w:tcW w:w="1413" w:type="dxa"/>
          </w:tcPr>
          <w:p w:rsidR="00CE7C23" w:rsidRPr="006D55BB" w:rsidRDefault="00CE7C23" w:rsidP="00B90D7E">
            <w:pPr>
              <w:tabs>
                <w:tab w:val="left" w:pos="426"/>
              </w:tabs>
              <w:ind w:right="140"/>
              <w:jc w:val="both"/>
              <w:rPr>
                <w:rFonts w:asciiTheme="majorHAnsi" w:hAnsiTheme="majorHAnsi" w:cstheme="majorHAnsi"/>
                <w:sz w:val="20"/>
                <w:szCs w:val="22"/>
                <w:lang w:val="en-GB"/>
              </w:rPr>
            </w:pPr>
            <w:r w:rsidRPr="006D55BB">
              <w:rPr>
                <w:rFonts w:asciiTheme="majorHAnsi" w:hAnsiTheme="majorHAnsi" w:cstheme="majorHAnsi"/>
                <w:sz w:val="20"/>
                <w:szCs w:val="22"/>
                <w:lang w:val="en-GB"/>
              </w:rPr>
              <w:t>Art. 32</w:t>
            </w:r>
          </w:p>
        </w:tc>
        <w:tc>
          <w:tcPr>
            <w:tcW w:w="4111" w:type="dxa"/>
          </w:tcPr>
          <w:p w:rsidR="00CE7C23" w:rsidRPr="006D55BB" w:rsidRDefault="00CE7C23" w:rsidP="00B90D7E">
            <w:pPr>
              <w:tabs>
                <w:tab w:val="left" w:pos="426"/>
              </w:tabs>
              <w:ind w:right="140"/>
              <w:rPr>
                <w:rFonts w:asciiTheme="majorHAnsi" w:hAnsiTheme="majorHAnsi" w:cstheme="majorHAnsi"/>
                <w:sz w:val="20"/>
                <w:szCs w:val="22"/>
                <w:lang w:val="en-GB"/>
              </w:rPr>
            </w:pPr>
            <w:r w:rsidRPr="006D55BB">
              <w:rPr>
                <w:rFonts w:asciiTheme="majorHAnsi" w:hAnsiTheme="majorHAnsi" w:cstheme="majorHAnsi"/>
                <w:sz w:val="20"/>
                <w:szCs w:val="22"/>
                <w:lang w:val="en-GB"/>
              </w:rPr>
              <w:t>Transposition</w:t>
            </w:r>
          </w:p>
        </w:tc>
        <w:tc>
          <w:tcPr>
            <w:tcW w:w="4529" w:type="dxa"/>
          </w:tcPr>
          <w:p w:rsidR="00CE7C23" w:rsidRPr="006D55BB" w:rsidRDefault="00DD4D8C" w:rsidP="00B90D7E">
            <w:pPr>
              <w:tabs>
                <w:tab w:val="left" w:pos="426"/>
              </w:tabs>
              <w:ind w:right="140"/>
              <w:rPr>
                <w:lang w:val="en-GB"/>
              </w:rPr>
            </w:pPr>
            <w:hyperlink w:anchor="_Poland" w:history="1">
              <w:r w:rsidR="00CE7C23" w:rsidRPr="006D55BB">
                <w:rPr>
                  <w:rStyle w:val="Hyperlink"/>
                  <w:rFonts w:asciiTheme="majorHAnsi" w:hAnsiTheme="majorHAnsi" w:cstheme="majorHAnsi"/>
                  <w:sz w:val="20"/>
                  <w:szCs w:val="22"/>
                  <w:lang w:val="en-GB"/>
                </w:rPr>
                <w:t>Norway</w:t>
              </w:r>
            </w:hyperlink>
          </w:p>
        </w:tc>
      </w:tr>
    </w:tbl>
    <w:p w:rsidR="000E4001" w:rsidRPr="00A42B3C" w:rsidRDefault="000E4001" w:rsidP="00B7304B">
      <w:pPr>
        <w:tabs>
          <w:tab w:val="left" w:pos="426"/>
        </w:tabs>
        <w:ind w:right="140"/>
        <w:jc w:val="both"/>
        <w:rPr>
          <w:rFonts w:asciiTheme="majorHAnsi" w:hAnsiTheme="majorHAnsi" w:cstheme="majorHAnsi"/>
          <w:sz w:val="20"/>
          <w:szCs w:val="22"/>
          <w:lang w:val="en-GB"/>
        </w:rPr>
      </w:pPr>
    </w:p>
    <w:p w:rsidR="007644FB" w:rsidRPr="00A42B3C" w:rsidRDefault="000E4001" w:rsidP="00B7304B">
      <w:pPr>
        <w:tabs>
          <w:tab w:val="left" w:pos="426"/>
        </w:tabs>
        <w:ind w:right="140"/>
        <w:jc w:val="both"/>
        <w:rPr>
          <w:rFonts w:asciiTheme="majorHAnsi" w:hAnsiTheme="majorHAnsi" w:cstheme="majorHAnsi"/>
          <w:b/>
          <w:sz w:val="20"/>
          <w:szCs w:val="22"/>
          <w:lang w:val="en-GB"/>
        </w:rPr>
      </w:pPr>
      <w:r w:rsidRPr="00A42B3C">
        <w:rPr>
          <w:rFonts w:asciiTheme="majorHAnsi" w:hAnsiTheme="majorHAnsi" w:cstheme="majorHAnsi"/>
          <w:b/>
          <w:sz w:val="20"/>
          <w:szCs w:val="22"/>
          <w:lang w:val="en-GB"/>
        </w:rPr>
        <w:t xml:space="preserve">  </w:t>
      </w:r>
      <w:r w:rsidR="007644FB" w:rsidRPr="00A42B3C">
        <w:rPr>
          <w:rFonts w:asciiTheme="majorHAnsi" w:hAnsiTheme="majorHAnsi" w:cstheme="majorHAnsi"/>
          <w:b/>
          <w:sz w:val="20"/>
          <w:szCs w:val="22"/>
          <w:lang w:val="en-GB"/>
        </w:rPr>
        <w:t>Regulation</w:t>
      </w:r>
    </w:p>
    <w:tbl>
      <w:tblPr>
        <w:tblStyle w:val="TableGrid"/>
        <w:tblW w:w="0" w:type="auto"/>
        <w:tblBorders>
          <w:top w:val="single" w:sz="4" w:space="0" w:color="DE821B"/>
          <w:left w:val="single" w:sz="4" w:space="0" w:color="DE821B"/>
          <w:bottom w:val="single" w:sz="4" w:space="0" w:color="DE821B"/>
          <w:right w:val="single" w:sz="4" w:space="0" w:color="DE821B"/>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55"/>
        <w:gridCol w:w="3969"/>
        <w:gridCol w:w="4529"/>
      </w:tblGrid>
      <w:tr w:rsidR="007644FB" w:rsidRPr="006D55BB" w:rsidTr="00E962EB">
        <w:tc>
          <w:tcPr>
            <w:tcW w:w="1555" w:type="dxa"/>
            <w:shd w:val="clear" w:color="auto" w:fill="DE821B"/>
          </w:tcPr>
          <w:p w:rsidR="007644FB" w:rsidRPr="006D55BB" w:rsidRDefault="007644FB" w:rsidP="00E962EB">
            <w:pPr>
              <w:tabs>
                <w:tab w:val="left" w:pos="426"/>
              </w:tabs>
              <w:ind w:right="140"/>
              <w:jc w:val="center"/>
              <w:rPr>
                <w:rFonts w:asciiTheme="majorHAnsi" w:hAnsiTheme="majorHAnsi" w:cstheme="majorHAnsi"/>
                <w:b/>
                <w:sz w:val="20"/>
                <w:szCs w:val="20"/>
                <w:lang w:val="en-GB"/>
              </w:rPr>
            </w:pPr>
            <w:r w:rsidRPr="006D55BB">
              <w:rPr>
                <w:rFonts w:asciiTheme="majorHAnsi" w:hAnsiTheme="majorHAnsi" w:cstheme="majorHAnsi"/>
                <w:b/>
                <w:color w:val="FFFFFF" w:themeColor="background1"/>
                <w:sz w:val="20"/>
                <w:szCs w:val="20"/>
                <w:lang w:val="en-GB"/>
              </w:rPr>
              <w:t>Where</w:t>
            </w:r>
          </w:p>
        </w:tc>
        <w:tc>
          <w:tcPr>
            <w:tcW w:w="3969" w:type="dxa"/>
            <w:shd w:val="clear" w:color="auto" w:fill="DE821B"/>
          </w:tcPr>
          <w:p w:rsidR="007644FB" w:rsidRPr="006D55BB" w:rsidRDefault="007644FB" w:rsidP="00E962EB">
            <w:pPr>
              <w:tabs>
                <w:tab w:val="left" w:pos="426"/>
              </w:tabs>
              <w:ind w:right="140"/>
              <w:jc w:val="center"/>
              <w:rPr>
                <w:rFonts w:asciiTheme="majorHAnsi" w:hAnsiTheme="majorHAnsi" w:cstheme="majorHAnsi"/>
                <w:b/>
                <w:color w:val="FFFFFF" w:themeColor="background1"/>
                <w:sz w:val="20"/>
                <w:szCs w:val="20"/>
                <w:lang w:val="en-GB"/>
              </w:rPr>
            </w:pPr>
            <w:r w:rsidRPr="006D55BB">
              <w:rPr>
                <w:rFonts w:asciiTheme="majorHAnsi" w:hAnsiTheme="majorHAnsi" w:cstheme="majorHAnsi"/>
                <w:b/>
                <w:color w:val="FFFFFF" w:themeColor="background1"/>
                <w:sz w:val="20"/>
                <w:szCs w:val="20"/>
                <w:lang w:val="en-GB"/>
              </w:rPr>
              <w:t>What</w:t>
            </w:r>
          </w:p>
        </w:tc>
        <w:tc>
          <w:tcPr>
            <w:tcW w:w="4529" w:type="dxa"/>
            <w:shd w:val="clear" w:color="auto" w:fill="DE821B"/>
          </w:tcPr>
          <w:p w:rsidR="007644FB" w:rsidRPr="006D55BB" w:rsidRDefault="007644FB" w:rsidP="00E962EB">
            <w:pPr>
              <w:tabs>
                <w:tab w:val="left" w:pos="426"/>
              </w:tabs>
              <w:ind w:right="140"/>
              <w:jc w:val="center"/>
              <w:rPr>
                <w:rFonts w:asciiTheme="majorHAnsi" w:hAnsiTheme="majorHAnsi" w:cstheme="majorHAnsi"/>
                <w:b/>
                <w:color w:val="FFFFFF" w:themeColor="background1"/>
                <w:sz w:val="20"/>
                <w:szCs w:val="20"/>
                <w:lang w:val="en-GB"/>
              </w:rPr>
            </w:pPr>
            <w:r w:rsidRPr="006D55BB">
              <w:rPr>
                <w:rFonts w:asciiTheme="majorHAnsi" w:hAnsiTheme="majorHAnsi" w:cstheme="majorHAnsi"/>
                <w:b/>
                <w:color w:val="FFFFFF" w:themeColor="background1"/>
                <w:sz w:val="20"/>
                <w:szCs w:val="20"/>
                <w:lang w:val="en-GB"/>
              </w:rPr>
              <w:t>Who commented</w:t>
            </w:r>
          </w:p>
        </w:tc>
      </w:tr>
      <w:tr w:rsidR="007644FB" w:rsidRPr="006D55BB" w:rsidTr="00E962EB">
        <w:tc>
          <w:tcPr>
            <w:tcW w:w="1555" w:type="dxa"/>
          </w:tcPr>
          <w:p w:rsidR="007644FB" w:rsidRPr="006D55BB" w:rsidRDefault="007644FB" w:rsidP="00E962EB">
            <w:pPr>
              <w:tabs>
                <w:tab w:val="left" w:pos="426"/>
              </w:tabs>
              <w:ind w:right="140"/>
              <w:jc w:val="both"/>
              <w:rPr>
                <w:rFonts w:asciiTheme="majorHAnsi" w:hAnsiTheme="majorHAnsi" w:cstheme="majorHAnsi"/>
                <w:sz w:val="20"/>
                <w:szCs w:val="22"/>
                <w:lang w:val="en-GB"/>
              </w:rPr>
            </w:pPr>
            <w:r w:rsidRPr="006D55BB">
              <w:rPr>
                <w:rFonts w:asciiTheme="majorHAnsi" w:hAnsiTheme="majorHAnsi" w:cstheme="majorHAnsi"/>
                <w:sz w:val="20"/>
                <w:szCs w:val="22"/>
                <w:lang w:val="en-GB"/>
              </w:rPr>
              <w:t>Recital 12</w:t>
            </w:r>
            <w:r w:rsidR="00556A90" w:rsidRPr="006D55BB">
              <w:rPr>
                <w:rFonts w:asciiTheme="majorHAnsi" w:hAnsiTheme="majorHAnsi" w:cstheme="majorHAnsi"/>
                <w:sz w:val="20"/>
                <w:szCs w:val="22"/>
                <w:lang w:val="en-GB"/>
              </w:rPr>
              <w:t xml:space="preserve"> (a)</w:t>
            </w:r>
          </w:p>
        </w:tc>
        <w:tc>
          <w:tcPr>
            <w:tcW w:w="3969" w:type="dxa"/>
          </w:tcPr>
          <w:p w:rsidR="007644FB" w:rsidRPr="006D55BB" w:rsidRDefault="00956083" w:rsidP="00E962EB">
            <w:pPr>
              <w:tabs>
                <w:tab w:val="left" w:pos="426"/>
              </w:tabs>
              <w:ind w:right="140"/>
              <w:jc w:val="both"/>
              <w:rPr>
                <w:rFonts w:asciiTheme="majorHAnsi" w:hAnsiTheme="majorHAnsi" w:cstheme="majorHAnsi"/>
                <w:sz w:val="20"/>
                <w:szCs w:val="22"/>
                <w:lang w:val="en-GB"/>
              </w:rPr>
            </w:pPr>
            <w:r w:rsidRPr="006D55BB">
              <w:rPr>
                <w:rFonts w:asciiTheme="majorHAnsi" w:hAnsiTheme="majorHAnsi" w:cstheme="majorHAnsi"/>
                <w:sz w:val="20"/>
                <w:szCs w:val="22"/>
                <w:lang w:val="en-GB"/>
              </w:rPr>
              <w:t>Risk weight exposures</w:t>
            </w:r>
          </w:p>
        </w:tc>
        <w:tc>
          <w:tcPr>
            <w:tcW w:w="4529" w:type="dxa"/>
          </w:tcPr>
          <w:p w:rsidR="007644FB" w:rsidRPr="006D55BB" w:rsidRDefault="00DD4D8C" w:rsidP="00E962EB">
            <w:pPr>
              <w:tabs>
                <w:tab w:val="left" w:pos="426"/>
              </w:tabs>
              <w:ind w:right="140"/>
              <w:jc w:val="both"/>
              <w:rPr>
                <w:rFonts w:asciiTheme="majorHAnsi" w:hAnsiTheme="majorHAnsi" w:cstheme="majorHAnsi"/>
                <w:sz w:val="20"/>
                <w:szCs w:val="22"/>
                <w:lang w:val="en-GB"/>
              </w:rPr>
            </w:pPr>
            <w:hyperlink w:anchor="_Poland_1" w:history="1">
              <w:r w:rsidR="00CE7C23" w:rsidRPr="006D55BB">
                <w:rPr>
                  <w:rStyle w:val="Hyperlink"/>
                  <w:rFonts w:asciiTheme="majorHAnsi" w:hAnsiTheme="majorHAnsi" w:cstheme="majorHAnsi"/>
                  <w:sz w:val="20"/>
                  <w:lang w:val="en-GB"/>
                </w:rPr>
                <w:t>Poland</w:t>
              </w:r>
            </w:hyperlink>
          </w:p>
        </w:tc>
      </w:tr>
      <w:tr w:rsidR="00556A90" w:rsidRPr="006D55BB" w:rsidTr="00E962EB">
        <w:tc>
          <w:tcPr>
            <w:tcW w:w="1555" w:type="dxa"/>
          </w:tcPr>
          <w:p w:rsidR="00556A90" w:rsidRPr="006D55BB" w:rsidRDefault="00956083" w:rsidP="00E962EB">
            <w:pPr>
              <w:tabs>
                <w:tab w:val="left" w:pos="426"/>
              </w:tabs>
              <w:ind w:right="140"/>
              <w:jc w:val="both"/>
              <w:rPr>
                <w:rFonts w:asciiTheme="majorHAnsi" w:hAnsiTheme="majorHAnsi" w:cstheme="majorHAnsi"/>
                <w:sz w:val="20"/>
                <w:szCs w:val="22"/>
                <w:lang w:val="en-GB"/>
              </w:rPr>
            </w:pPr>
            <w:r w:rsidRPr="006D55BB">
              <w:rPr>
                <w:rFonts w:asciiTheme="majorHAnsi" w:hAnsiTheme="majorHAnsi" w:cstheme="majorHAnsi"/>
                <w:sz w:val="20"/>
                <w:szCs w:val="22"/>
                <w:lang w:val="en-GB"/>
              </w:rPr>
              <w:t>Recital 12 (b)</w:t>
            </w:r>
          </w:p>
        </w:tc>
        <w:tc>
          <w:tcPr>
            <w:tcW w:w="3969" w:type="dxa"/>
          </w:tcPr>
          <w:p w:rsidR="00556A90" w:rsidRPr="006D55BB" w:rsidRDefault="00956083" w:rsidP="00E962EB">
            <w:pPr>
              <w:tabs>
                <w:tab w:val="left" w:pos="426"/>
              </w:tabs>
              <w:ind w:right="140"/>
              <w:jc w:val="both"/>
              <w:rPr>
                <w:rFonts w:asciiTheme="majorHAnsi" w:hAnsiTheme="majorHAnsi" w:cstheme="majorHAnsi"/>
                <w:sz w:val="20"/>
                <w:szCs w:val="22"/>
                <w:lang w:val="en-GB"/>
              </w:rPr>
            </w:pPr>
            <w:r w:rsidRPr="006D55BB">
              <w:rPr>
                <w:rFonts w:asciiTheme="majorHAnsi" w:hAnsiTheme="majorHAnsi" w:cstheme="majorHAnsi"/>
                <w:sz w:val="20"/>
                <w:szCs w:val="22"/>
                <w:lang w:val="en-GB"/>
              </w:rPr>
              <w:t>Extendable maturity structures</w:t>
            </w:r>
          </w:p>
        </w:tc>
        <w:tc>
          <w:tcPr>
            <w:tcW w:w="4529" w:type="dxa"/>
          </w:tcPr>
          <w:p w:rsidR="00556A90" w:rsidRPr="006D55BB" w:rsidRDefault="00DD4D8C" w:rsidP="00E962EB">
            <w:pPr>
              <w:tabs>
                <w:tab w:val="left" w:pos="426"/>
              </w:tabs>
              <w:ind w:right="140"/>
              <w:jc w:val="both"/>
              <w:rPr>
                <w:lang w:val="en-GB"/>
              </w:rPr>
            </w:pPr>
            <w:hyperlink w:anchor="_Greece" w:history="1">
              <w:r w:rsidR="006A4A08" w:rsidRPr="006D55BB">
                <w:rPr>
                  <w:rStyle w:val="Hyperlink"/>
                  <w:rFonts w:asciiTheme="majorHAnsi" w:hAnsiTheme="majorHAnsi" w:cstheme="majorHAnsi"/>
                  <w:sz w:val="20"/>
                  <w:lang w:val="en-GB"/>
                </w:rPr>
                <w:t>Greece</w:t>
              </w:r>
            </w:hyperlink>
            <w:r w:rsidR="006A4A08" w:rsidRPr="006D55BB">
              <w:rPr>
                <w:rFonts w:asciiTheme="majorHAnsi" w:hAnsiTheme="majorHAnsi" w:cstheme="majorHAnsi"/>
                <w:sz w:val="20"/>
                <w:lang w:val="en-GB"/>
              </w:rPr>
              <w:t xml:space="preserve">, </w:t>
            </w:r>
            <w:hyperlink w:anchor="_Italy" w:history="1">
              <w:r w:rsidR="00956083" w:rsidRPr="006D55BB">
                <w:rPr>
                  <w:rStyle w:val="Hyperlink"/>
                  <w:rFonts w:asciiTheme="majorHAnsi" w:hAnsiTheme="majorHAnsi" w:cstheme="majorHAnsi"/>
                  <w:sz w:val="20"/>
                  <w:szCs w:val="22"/>
                  <w:lang w:val="en-GB"/>
                </w:rPr>
                <w:t>Italy</w:t>
              </w:r>
            </w:hyperlink>
          </w:p>
        </w:tc>
      </w:tr>
      <w:tr w:rsidR="0062363C" w:rsidRPr="000261CA" w:rsidTr="00E962EB">
        <w:tc>
          <w:tcPr>
            <w:tcW w:w="1555" w:type="dxa"/>
          </w:tcPr>
          <w:p w:rsidR="0062363C" w:rsidRPr="006D55BB" w:rsidRDefault="0062363C" w:rsidP="00E962EB">
            <w:pPr>
              <w:tabs>
                <w:tab w:val="left" w:pos="426"/>
              </w:tabs>
              <w:ind w:right="140"/>
              <w:jc w:val="both"/>
              <w:rPr>
                <w:rFonts w:asciiTheme="majorHAnsi" w:hAnsiTheme="majorHAnsi" w:cstheme="majorHAnsi"/>
                <w:sz w:val="20"/>
                <w:szCs w:val="22"/>
                <w:lang w:val="en-GB"/>
              </w:rPr>
            </w:pPr>
            <w:r w:rsidRPr="006D55BB">
              <w:rPr>
                <w:rFonts w:asciiTheme="majorHAnsi" w:hAnsiTheme="majorHAnsi" w:cstheme="majorHAnsi"/>
                <w:sz w:val="20"/>
                <w:szCs w:val="22"/>
                <w:lang w:val="en-GB"/>
              </w:rPr>
              <w:t>CRR Art 129 1</w:t>
            </w:r>
          </w:p>
        </w:tc>
        <w:tc>
          <w:tcPr>
            <w:tcW w:w="3969" w:type="dxa"/>
          </w:tcPr>
          <w:p w:rsidR="0062363C" w:rsidRPr="006D55BB" w:rsidRDefault="004B65C3" w:rsidP="00E962EB">
            <w:pPr>
              <w:tabs>
                <w:tab w:val="left" w:pos="426"/>
              </w:tabs>
              <w:ind w:right="140"/>
              <w:jc w:val="both"/>
              <w:rPr>
                <w:rFonts w:asciiTheme="majorHAnsi" w:hAnsiTheme="majorHAnsi" w:cstheme="majorHAnsi"/>
                <w:sz w:val="20"/>
                <w:szCs w:val="22"/>
                <w:lang w:val="en-GB"/>
              </w:rPr>
            </w:pPr>
            <w:r w:rsidRPr="006D55BB">
              <w:rPr>
                <w:rFonts w:asciiTheme="majorHAnsi" w:hAnsiTheme="majorHAnsi" w:cstheme="majorHAnsi"/>
                <w:sz w:val="20"/>
                <w:szCs w:val="22"/>
                <w:lang w:val="en-GB"/>
              </w:rPr>
              <w:t>Exposures to Credit Institutions and derivatives</w:t>
            </w:r>
          </w:p>
        </w:tc>
        <w:tc>
          <w:tcPr>
            <w:tcW w:w="4529" w:type="dxa"/>
          </w:tcPr>
          <w:p w:rsidR="0062363C" w:rsidRPr="006D55BB" w:rsidRDefault="00DD4D8C" w:rsidP="00E962EB">
            <w:pPr>
              <w:tabs>
                <w:tab w:val="left" w:pos="426"/>
              </w:tabs>
              <w:ind w:right="140"/>
              <w:jc w:val="both"/>
              <w:rPr>
                <w:rStyle w:val="Hyperlink"/>
                <w:lang w:val="en-GB"/>
              </w:rPr>
            </w:pPr>
            <w:hyperlink w:anchor="_Germany_1" w:history="1">
              <w:r w:rsidR="0062363C" w:rsidRPr="006D55BB">
                <w:rPr>
                  <w:rStyle w:val="Hyperlink"/>
                  <w:rFonts w:asciiTheme="majorHAnsi" w:hAnsiTheme="majorHAnsi" w:cstheme="majorHAnsi"/>
                  <w:sz w:val="20"/>
                  <w:szCs w:val="20"/>
                  <w:lang w:val="en-GB"/>
                </w:rPr>
                <w:t>Germany</w:t>
              </w:r>
            </w:hyperlink>
            <w:r w:rsidR="0062363C" w:rsidRPr="006D55BB">
              <w:rPr>
                <w:rStyle w:val="Hyperlink"/>
                <w:lang w:val="en-GB"/>
              </w:rPr>
              <w:t>,</w:t>
            </w:r>
            <w:r w:rsidR="004B65C3" w:rsidRPr="006D55BB">
              <w:rPr>
                <w:rStyle w:val="Hyperlink"/>
                <w:lang w:val="en-GB"/>
              </w:rPr>
              <w:t xml:space="preserve"> </w:t>
            </w:r>
            <w:hyperlink w:anchor="_Denmark" w:history="1">
              <w:r w:rsidR="004B65C3" w:rsidRPr="006D55BB">
                <w:rPr>
                  <w:rStyle w:val="Hyperlink"/>
                  <w:rFonts w:asciiTheme="majorHAnsi" w:hAnsiTheme="majorHAnsi" w:cstheme="majorHAnsi"/>
                  <w:sz w:val="20"/>
                  <w:szCs w:val="22"/>
                  <w:lang w:val="en-GB"/>
                </w:rPr>
                <w:t>Denmark</w:t>
              </w:r>
            </w:hyperlink>
            <w:r w:rsidR="004B65C3" w:rsidRPr="006D55BB">
              <w:rPr>
                <w:rFonts w:asciiTheme="majorHAnsi" w:hAnsiTheme="majorHAnsi" w:cstheme="majorHAnsi"/>
                <w:sz w:val="20"/>
                <w:szCs w:val="22"/>
                <w:lang w:val="en-GB"/>
              </w:rPr>
              <w:t>,</w:t>
            </w:r>
            <w:r w:rsidR="0062363C" w:rsidRPr="006D55BB">
              <w:rPr>
                <w:rStyle w:val="Hyperlink"/>
                <w:lang w:val="en-GB"/>
              </w:rPr>
              <w:t xml:space="preserve"> </w:t>
            </w:r>
            <w:hyperlink w:anchor="_Italy" w:history="1">
              <w:r w:rsidR="0062363C" w:rsidRPr="006D55BB">
                <w:rPr>
                  <w:rStyle w:val="Hyperlink"/>
                  <w:rFonts w:asciiTheme="majorHAnsi" w:hAnsiTheme="majorHAnsi" w:cstheme="majorHAnsi"/>
                  <w:sz w:val="20"/>
                  <w:lang w:val="en-GB"/>
                </w:rPr>
                <w:t>Italy</w:t>
              </w:r>
            </w:hyperlink>
            <w:r w:rsidR="00F57824" w:rsidRPr="006D55BB">
              <w:rPr>
                <w:rStyle w:val="Hyperlink"/>
                <w:rFonts w:asciiTheme="majorHAnsi" w:hAnsiTheme="majorHAnsi" w:cstheme="majorHAnsi"/>
                <w:sz w:val="20"/>
                <w:lang w:val="en-GB"/>
              </w:rPr>
              <w:t xml:space="preserve">, </w:t>
            </w:r>
            <w:hyperlink w:anchor="_Ireland_–_TBC" w:history="1">
              <w:r w:rsidR="00E26DAD" w:rsidRPr="006D55BB">
                <w:rPr>
                  <w:rStyle w:val="Hyperlink"/>
                  <w:rFonts w:asciiTheme="majorHAnsi" w:hAnsiTheme="majorHAnsi" w:cstheme="majorHAnsi"/>
                  <w:sz w:val="20"/>
                  <w:lang w:val="en-GB"/>
                </w:rPr>
                <w:t>Ireland</w:t>
              </w:r>
            </w:hyperlink>
            <w:r w:rsidR="00AA5F7A" w:rsidRPr="006D55BB">
              <w:rPr>
                <w:rStyle w:val="Hyperlink"/>
                <w:rFonts w:asciiTheme="majorHAnsi" w:hAnsiTheme="majorHAnsi" w:cstheme="majorHAnsi"/>
                <w:sz w:val="20"/>
                <w:lang w:val="en-GB"/>
              </w:rPr>
              <w:t xml:space="preserve">, </w:t>
            </w:r>
            <w:hyperlink w:anchor="_Sweden" w:history="1">
              <w:r w:rsidR="00AA5F7A" w:rsidRPr="006D55BB">
                <w:rPr>
                  <w:rStyle w:val="Hyperlink"/>
                  <w:rFonts w:asciiTheme="majorHAnsi" w:hAnsiTheme="majorHAnsi" w:cstheme="majorHAnsi"/>
                  <w:sz w:val="20"/>
                  <w:lang w:val="en-GB"/>
                </w:rPr>
                <w:t>Sweden</w:t>
              </w:r>
            </w:hyperlink>
            <w:r w:rsidR="00AA5F7A" w:rsidRPr="006D55BB">
              <w:rPr>
                <w:rStyle w:val="Hyperlink"/>
                <w:rFonts w:asciiTheme="majorHAnsi" w:hAnsiTheme="majorHAnsi" w:cstheme="majorHAnsi"/>
                <w:sz w:val="20"/>
                <w:lang w:val="en-GB"/>
              </w:rPr>
              <w:t xml:space="preserve">, </w:t>
            </w:r>
            <w:hyperlink w:anchor="_United_Kingdom" w:history="1">
              <w:r w:rsidR="00AA5F7A" w:rsidRPr="006D55BB">
                <w:rPr>
                  <w:rStyle w:val="Hyperlink"/>
                  <w:rFonts w:asciiTheme="majorHAnsi" w:hAnsiTheme="majorHAnsi" w:cstheme="majorHAnsi"/>
                  <w:sz w:val="20"/>
                  <w:lang w:val="en-GB"/>
                </w:rPr>
                <w:t>UK</w:t>
              </w:r>
            </w:hyperlink>
            <w:r w:rsidR="00CE7C23" w:rsidRPr="006D55BB">
              <w:rPr>
                <w:rStyle w:val="Hyperlink"/>
                <w:rFonts w:asciiTheme="majorHAnsi" w:hAnsiTheme="majorHAnsi" w:cstheme="majorHAnsi"/>
                <w:sz w:val="20"/>
                <w:lang w:val="en-GB"/>
              </w:rPr>
              <w:t xml:space="preserve">, </w:t>
            </w:r>
            <w:hyperlink w:anchor="_Poland_1" w:history="1">
              <w:r w:rsidR="00CE7C23" w:rsidRPr="006D55BB">
                <w:rPr>
                  <w:rStyle w:val="Hyperlink"/>
                  <w:rFonts w:asciiTheme="majorHAnsi" w:hAnsiTheme="majorHAnsi" w:cstheme="majorHAnsi"/>
                  <w:sz w:val="20"/>
                  <w:lang w:val="en-GB"/>
                </w:rPr>
                <w:t>Poland</w:t>
              </w:r>
            </w:hyperlink>
          </w:p>
        </w:tc>
      </w:tr>
      <w:tr w:rsidR="007644FB" w:rsidRPr="006D55BB" w:rsidTr="00E962EB">
        <w:tc>
          <w:tcPr>
            <w:tcW w:w="1555" w:type="dxa"/>
          </w:tcPr>
          <w:p w:rsidR="007644FB" w:rsidRPr="006D55BB" w:rsidRDefault="007644FB" w:rsidP="00E962EB">
            <w:pPr>
              <w:tabs>
                <w:tab w:val="left" w:pos="426"/>
              </w:tabs>
              <w:ind w:right="140"/>
              <w:jc w:val="both"/>
              <w:rPr>
                <w:rFonts w:asciiTheme="majorHAnsi" w:hAnsiTheme="majorHAnsi" w:cstheme="majorHAnsi"/>
                <w:sz w:val="20"/>
                <w:szCs w:val="22"/>
                <w:lang w:val="en-GB"/>
              </w:rPr>
            </w:pPr>
            <w:r w:rsidRPr="006D55BB">
              <w:rPr>
                <w:rFonts w:asciiTheme="majorHAnsi" w:hAnsiTheme="majorHAnsi" w:cstheme="majorHAnsi"/>
                <w:sz w:val="20"/>
                <w:szCs w:val="22"/>
                <w:lang w:val="en-GB"/>
              </w:rPr>
              <w:t>CRR Art 129 3</w:t>
            </w:r>
          </w:p>
        </w:tc>
        <w:tc>
          <w:tcPr>
            <w:tcW w:w="3969" w:type="dxa"/>
          </w:tcPr>
          <w:p w:rsidR="007644FB" w:rsidRPr="006D55BB" w:rsidRDefault="00D36915" w:rsidP="00E962EB">
            <w:pPr>
              <w:tabs>
                <w:tab w:val="left" w:pos="426"/>
              </w:tabs>
              <w:ind w:right="140"/>
              <w:jc w:val="both"/>
              <w:rPr>
                <w:rFonts w:asciiTheme="majorHAnsi" w:hAnsiTheme="majorHAnsi" w:cstheme="majorHAnsi"/>
                <w:sz w:val="20"/>
                <w:szCs w:val="22"/>
                <w:lang w:val="en-GB"/>
              </w:rPr>
            </w:pPr>
            <w:r w:rsidRPr="006D55BB">
              <w:rPr>
                <w:rFonts w:asciiTheme="majorHAnsi" w:hAnsiTheme="majorHAnsi" w:cstheme="majorHAnsi"/>
                <w:sz w:val="20"/>
                <w:szCs w:val="22"/>
                <w:lang w:val="en-GB"/>
              </w:rPr>
              <w:t>Overcollateralisation</w:t>
            </w:r>
          </w:p>
        </w:tc>
        <w:tc>
          <w:tcPr>
            <w:tcW w:w="4529" w:type="dxa"/>
          </w:tcPr>
          <w:p w:rsidR="007644FB" w:rsidRPr="006D55BB" w:rsidRDefault="00DD4D8C" w:rsidP="00E962EB">
            <w:pPr>
              <w:tabs>
                <w:tab w:val="left" w:pos="426"/>
              </w:tabs>
              <w:ind w:right="140"/>
              <w:jc w:val="both"/>
              <w:rPr>
                <w:rFonts w:asciiTheme="majorHAnsi" w:hAnsiTheme="majorHAnsi" w:cstheme="majorHAnsi"/>
                <w:sz w:val="20"/>
                <w:szCs w:val="22"/>
                <w:lang w:val="en-GB"/>
              </w:rPr>
            </w:pPr>
            <w:hyperlink w:anchor="_Italy" w:history="1">
              <w:r w:rsidR="002E1FE8" w:rsidRPr="006D55BB">
                <w:rPr>
                  <w:rStyle w:val="Hyperlink"/>
                  <w:rFonts w:asciiTheme="majorHAnsi" w:hAnsiTheme="majorHAnsi" w:cstheme="majorHAnsi"/>
                  <w:sz w:val="20"/>
                  <w:szCs w:val="22"/>
                  <w:lang w:val="en-GB"/>
                </w:rPr>
                <w:t>Hungary</w:t>
              </w:r>
            </w:hyperlink>
            <w:r w:rsidR="002E1FE8" w:rsidRPr="006D55BB">
              <w:rPr>
                <w:rFonts w:asciiTheme="majorHAnsi" w:hAnsiTheme="majorHAnsi" w:cstheme="majorHAnsi"/>
                <w:sz w:val="20"/>
                <w:szCs w:val="22"/>
                <w:lang w:val="en-GB"/>
              </w:rPr>
              <w:t xml:space="preserve">, </w:t>
            </w:r>
            <w:hyperlink w:anchor="_Ireland_–_TBC" w:history="1">
              <w:r w:rsidR="00AA5F7A" w:rsidRPr="006D55BB">
                <w:rPr>
                  <w:rStyle w:val="Hyperlink"/>
                  <w:rFonts w:asciiTheme="majorHAnsi" w:hAnsiTheme="majorHAnsi" w:cstheme="majorHAnsi"/>
                  <w:sz w:val="20"/>
                  <w:szCs w:val="22"/>
                  <w:lang w:val="en-GB"/>
                </w:rPr>
                <w:t>Ireland</w:t>
              </w:r>
            </w:hyperlink>
            <w:r w:rsidR="00CE7C23" w:rsidRPr="006D55BB">
              <w:rPr>
                <w:rFonts w:asciiTheme="majorHAnsi" w:hAnsiTheme="majorHAnsi" w:cstheme="majorHAnsi"/>
                <w:sz w:val="20"/>
                <w:szCs w:val="22"/>
                <w:lang w:val="en-GB"/>
              </w:rPr>
              <w:t xml:space="preserve">, </w:t>
            </w:r>
            <w:hyperlink w:anchor="_Sweden" w:history="1">
              <w:r w:rsidR="00CE7C23" w:rsidRPr="006D55BB">
                <w:rPr>
                  <w:rStyle w:val="Hyperlink"/>
                  <w:rFonts w:asciiTheme="majorHAnsi" w:hAnsiTheme="majorHAnsi" w:cstheme="majorHAnsi"/>
                  <w:sz w:val="20"/>
                  <w:szCs w:val="22"/>
                  <w:lang w:val="en-GB"/>
                </w:rPr>
                <w:t>Sweden</w:t>
              </w:r>
            </w:hyperlink>
            <w:r w:rsidR="00AA5F7A" w:rsidRPr="006D55BB">
              <w:rPr>
                <w:rFonts w:asciiTheme="majorHAnsi" w:hAnsiTheme="majorHAnsi" w:cstheme="majorHAnsi"/>
                <w:sz w:val="20"/>
                <w:szCs w:val="22"/>
                <w:lang w:val="en-GB"/>
              </w:rPr>
              <w:t xml:space="preserve">, </w:t>
            </w:r>
            <w:hyperlink w:anchor="_United_Kingdom" w:history="1">
              <w:r w:rsidR="00AA5F7A" w:rsidRPr="006D55BB">
                <w:rPr>
                  <w:rStyle w:val="Hyperlink"/>
                  <w:rFonts w:asciiTheme="majorHAnsi" w:hAnsiTheme="majorHAnsi" w:cstheme="majorHAnsi"/>
                  <w:sz w:val="20"/>
                  <w:szCs w:val="22"/>
                  <w:lang w:val="en-GB"/>
                </w:rPr>
                <w:t>UK</w:t>
              </w:r>
            </w:hyperlink>
          </w:p>
        </w:tc>
      </w:tr>
      <w:tr w:rsidR="00AA5F7A" w:rsidRPr="000261CA" w:rsidTr="00E962EB">
        <w:tc>
          <w:tcPr>
            <w:tcW w:w="1555" w:type="dxa"/>
          </w:tcPr>
          <w:p w:rsidR="00AA5F7A" w:rsidRPr="006D55BB" w:rsidRDefault="00AA5F7A" w:rsidP="00E962EB">
            <w:pPr>
              <w:tabs>
                <w:tab w:val="left" w:pos="426"/>
              </w:tabs>
              <w:ind w:right="140"/>
              <w:jc w:val="both"/>
              <w:rPr>
                <w:rFonts w:asciiTheme="majorHAnsi" w:hAnsiTheme="majorHAnsi" w:cstheme="majorHAnsi"/>
                <w:sz w:val="20"/>
                <w:szCs w:val="22"/>
                <w:lang w:val="en-GB"/>
              </w:rPr>
            </w:pPr>
            <w:r w:rsidRPr="006D55BB">
              <w:rPr>
                <w:rFonts w:asciiTheme="majorHAnsi" w:hAnsiTheme="majorHAnsi" w:cstheme="majorHAnsi"/>
                <w:sz w:val="20"/>
                <w:szCs w:val="22"/>
                <w:lang w:val="en-GB"/>
              </w:rPr>
              <w:t>CRR Art 129 7</w:t>
            </w:r>
          </w:p>
        </w:tc>
        <w:tc>
          <w:tcPr>
            <w:tcW w:w="3969" w:type="dxa"/>
          </w:tcPr>
          <w:p w:rsidR="00AA5F7A" w:rsidRPr="006D55BB" w:rsidRDefault="00956083" w:rsidP="00E962EB">
            <w:pPr>
              <w:tabs>
                <w:tab w:val="left" w:pos="426"/>
              </w:tabs>
              <w:ind w:right="140"/>
              <w:jc w:val="both"/>
              <w:rPr>
                <w:rFonts w:asciiTheme="majorHAnsi" w:hAnsiTheme="majorHAnsi" w:cstheme="majorHAnsi"/>
                <w:sz w:val="20"/>
                <w:szCs w:val="22"/>
                <w:lang w:val="en-GB"/>
              </w:rPr>
            </w:pPr>
            <w:r w:rsidRPr="006D55BB">
              <w:rPr>
                <w:rFonts w:asciiTheme="majorHAnsi" w:hAnsiTheme="majorHAnsi" w:cstheme="majorHAnsi"/>
                <w:sz w:val="20"/>
                <w:szCs w:val="22"/>
                <w:lang w:val="en-GB"/>
              </w:rPr>
              <w:t>Risk weights</w:t>
            </w:r>
            <w:r w:rsidR="00510A49" w:rsidRPr="006D55BB">
              <w:rPr>
                <w:rFonts w:asciiTheme="majorHAnsi" w:hAnsiTheme="majorHAnsi" w:cstheme="majorHAnsi"/>
                <w:sz w:val="20"/>
                <w:szCs w:val="22"/>
                <w:lang w:val="en-GB"/>
              </w:rPr>
              <w:t xml:space="preserve"> for</w:t>
            </w:r>
            <w:r w:rsidR="00CE7C23" w:rsidRPr="006D55BB">
              <w:rPr>
                <w:rFonts w:asciiTheme="majorHAnsi" w:hAnsiTheme="majorHAnsi" w:cstheme="majorHAnsi"/>
                <w:sz w:val="20"/>
                <w:szCs w:val="22"/>
                <w:lang w:val="en-GB"/>
              </w:rPr>
              <w:t xml:space="preserve"> </w:t>
            </w:r>
            <w:r w:rsidR="00895053" w:rsidRPr="006D55BB">
              <w:rPr>
                <w:rFonts w:asciiTheme="majorHAnsi" w:hAnsiTheme="majorHAnsi" w:cstheme="majorHAnsi"/>
                <w:sz w:val="20"/>
                <w:szCs w:val="22"/>
                <w:lang w:val="en-GB"/>
              </w:rPr>
              <w:t>CB and</w:t>
            </w:r>
            <w:r w:rsidR="00510A49" w:rsidRPr="006D55BB">
              <w:rPr>
                <w:rFonts w:asciiTheme="majorHAnsi" w:hAnsiTheme="majorHAnsi" w:cstheme="majorHAnsi"/>
                <w:sz w:val="20"/>
                <w:szCs w:val="22"/>
                <w:lang w:val="en-GB"/>
              </w:rPr>
              <w:t xml:space="preserve"> extendable maturities</w:t>
            </w:r>
          </w:p>
        </w:tc>
        <w:tc>
          <w:tcPr>
            <w:tcW w:w="4529" w:type="dxa"/>
          </w:tcPr>
          <w:p w:rsidR="00AA5F7A" w:rsidRPr="006D55BB" w:rsidRDefault="00DD4D8C" w:rsidP="00E962EB">
            <w:pPr>
              <w:tabs>
                <w:tab w:val="left" w:pos="426"/>
              </w:tabs>
              <w:ind w:right="140"/>
              <w:jc w:val="both"/>
              <w:rPr>
                <w:rFonts w:asciiTheme="majorHAnsi" w:hAnsiTheme="majorHAnsi" w:cstheme="majorHAnsi"/>
                <w:sz w:val="20"/>
                <w:szCs w:val="22"/>
                <w:lang w:val="en-GB"/>
              </w:rPr>
            </w:pPr>
            <w:hyperlink w:anchor="_Denmark" w:history="1">
              <w:r w:rsidR="00510A49" w:rsidRPr="006D55BB">
                <w:rPr>
                  <w:rStyle w:val="Hyperlink"/>
                  <w:rFonts w:asciiTheme="majorHAnsi" w:hAnsiTheme="majorHAnsi" w:cstheme="majorHAnsi"/>
                  <w:sz w:val="20"/>
                  <w:szCs w:val="22"/>
                  <w:lang w:val="en-GB"/>
                </w:rPr>
                <w:t>Denmark</w:t>
              </w:r>
            </w:hyperlink>
            <w:r w:rsidR="00510A49" w:rsidRPr="006D55BB">
              <w:rPr>
                <w:rFonts w:asciiTheme="majorHAnsi" w:hAnsiTheme="majorHAnsi" w:cstheme="majorHAnsi"/>
                <w:sz w:val="20"/>
                <w:szCs w:val="22"/>
                <w:lang w:val="en-GB"/>
              </w:rPr>
              <w:t>,</w:t>
            </w:r>
            <w:r w:rsidR="006A4A08" w:rsidRPr="006D55BB">
              <w:rPr>
                <w:rFonts w:asciiTheme="majorHAnsi" w:hAnsiTheme="majorHAnsi" w:cstheme="majorHAnsi"/>
                <w:sz w:val="20"/>
                <w:lang w:val="en-GB"/>
              </w:rPr>
              <w:t xml:space="preserve"> </w:t>
            </w:r>
            <w:hyperlink w:anchor="_Greece" w:history="1">
              <w:r w:rsidR="006A4A08" w:rsidRPr="006D55BB">
                <w:rPr>
                  <w:rStyle w:val="Hyperlink"/>
                  <w:rFonts w:asciiTheme="majorHAnsi" w:hAnsiTheme="majorHAnsi" w:cstheme="majorHAnsi"/>
                  <w:sz w:val="20"/>
                  <w:lang w:val="en-GB"/>
                </w:rPr>
                <w:t>Greece</w:t>
              </w:r>
            </w:hyperlink>
            <w:r w:rsidR="006A4A08" w:rsidRPr="006D55BB">
              <w:rPr>
                <w:rFonts w:asciiTheme="majorHAnsi" w:hAnsiTheme="majorHAnsi" w:cstheme="majorHAnsi"/>
                <w:sz w:val="20"/>
                <w:lang w:val="en-GB"/>
              </w:rPr>
              <w:t>,</w:t>
            </w:r>
            <w:r w:rsidR="00510A49" w:rsidRPr="006D55BB">
              <w:rPr>
                <w:rFonts w:asciiTheme="majorHAnsi" w:hAnsiTheme="majorHAnsi" w:cstheme="majorHAnsi"/>
                <w:sz w:val="20"/>
                <w:szCs w:val="22"/>
                <w:lang w:val="en-GB"/>
              </w:rPr>
              <w:t xml:space="preserve"> </w:t>
            </w:r>
            <w:hyperlink w:anchor="_Italy" w:history="1">
              <w:r w:rsidR="00510A49" w:rsidRPr="006D55BB">
                <w:rPr>
                  <w:rStyle w:val="Hyperlink"/>
                  <w:rFonts w:asciiTheme="majorHAnsi" w:hAnsiTheme="majorHAnsi" w:cstheme="majorHAnsi"/>
                  <w:sz w:val="20"/>
                  <w:szCs w:val="22"/>
                  <w:lang w:val="en-GB"/>
                </w:rPr>
                <w:t>Italy</w:t>
              </w:r>
            </w:hyperlink>
            <w:r w:rsidR="00510A49" w:rsidRPr="006D55BB">
              <w:rPr>
                <w:lang w:val="en-GB"/>
              </w:rPr>
              <w:t xml:space="preserve">, </w:t>
            </w:r>
            <w:hyperlink w:anchor="_Poland" w:history="1">
              <w:r w:rsidR="00AA5F7A" w:rsidRPr="006D55BB">
                <w:rPr>
                  <w:rStyle w:val="Hyperlink"/>
                  <w:rFonts w:asciiTheme="majorHAnsi" w:hAnsiTheme="majorHAnsi" w:cstheme="majorHAnsi"/>
                  <w:sz w:val="20"/>
                  <w:szCs w:val="22"/>
                  <w:lang w:val="en-GB"/>
                </w:rPr>
                <w:t>Poland</w:t>
              </w:r>
            </w:hyperlink>
            <w:r w:rsidR="00AA5F7A" w:rsidRPr="006D55BB">
              <w:rPr>
                <w:rFonts w:asciiTheme="majorHAnsi" w:hAnsiTheme="majorHAnsi" w:cstheme="majorHAnsi"/>
                <w:sz w:val="20"/>
                <w:szCs w:val="22"/>
                <w:lang w:val="en-GB"/>
              </w:rPr>
              <w:t xml:space="preserve">, </w:t>
            </w:r>
            <w:hyperlink w:anchor="_United_Kingdom" w:history="1">
              <w:r w:rsidR="00AA5F7A" w:rsidRPr="006D55BB">
                <w:rPr>
                  <w:rStyle w:val="Hyperlink"/>
                  <w:rFonts w:asciiTheme="majorHAnsi" w:hAnsiTheme="majorHAnsi" w:cstheme="majorHAnsi"/>
                  <w:sz w:val="20"/>
                  <w:szCs w:val="22"/>
                  <w:lang w:val="en-GB"/>
                </w:rPr>
                <w:t>UK</w:t>
              </w:r>
            </w:hyperlink>
          </w:p>
        </w:tc>
      </w:tr>
    </w:tbl>
    <w:p w:rsidR="000E4001" w:rsidRPr="00A42B3C" w:rsidRDefault="000E4001" w:rsidP="00B7304B">
      <w:pPr>
        <w:tabs>
          <w:tab w:val="left" w:pos="426"/>
        </w:tabs>
        <w:ind w:right="140"/>
        <w:jc w:val="both"/>
        <w:rPr>
          <w:rFonts w:asciiTheme="majorHAnsi" w:hAnsiTheme="majorHAnsi" w:cstheme="majorHAnsi"/>
          <w:sz w:val="20"/>
          <w:szCs w:val="22"/>
          <w:lang w:val="en-GB"/>
        </w:rPr>
        <w:sectPr w:rsidR="000E4001" w:rsidRPr="00A42B3C" w:rsidSect="00745851">
          <w:headerReference w:type="even" r:id="rId12"/>
          <w:headerReference w:type="default" r:id="rId13"/>
          <w:footerReference w:type="default" r:id="rId14"/>
          <w:headerReference w:type="first" r:id="rId15"/>
          <w:pgSz w:w="11900" w:h="16840"/>
          <w:pgMar w:top="1985" w:right="845" w:bottom="1418" w:left="992" w:header="737" w:footer="0" w:gutter="0"/>
          <w:cols w:space="708"/>
          <w:docGrid w:linePitch="360"/>
        </w:sectPr>
      </w:pPr>
    </w:p>
    <w:p w:rsidR="00492370" w:rsidRPr="00A42B3C" w:rsidRDefault="00492370" w:rsidP="00854590">
      <w:pPr>
        <w:rPr>
          <w:rFonts w:asciiTheme="majorHAnsi" w:hAnsiTheme="majorHAnsi" w:cstheme="majorHAnsi"/>
          <w:b/>
          <w:color w:val="DE8400"/>
          <w:u w:val="single"/>
          <w:lang w:val="en-GB"/>
        </w:rPr>
      </w:pPr>
    </w:p>
    <w:p w:rsidR="00854590" w:rsidRPr="00A42B3C" w:rsidRDefault="00854590" w:rsidP="00854590">
      <w:pPr>
        <w:rPr>
          <w:rFonts w:asciiTheme="majorHAnsi" w:hAnsiTheme="majorHAnsi" w:cstheme="majorHAnsi"/>
          <w:b/>
          <w:color w:val="DE8400"/>
          <w:sz w:val="28"/>
          <w:u w:val="single"/>
          <w:lang w:val="en-GB"/>
        </w:rPr>
      </w:pPr>
      <w:r w:rsidRPr="00A42B3C">
        <w:rPr>
          <w:rFonts w:asciiTheme="majorHAnsi" w:hAnsiTheme="majorHAnsi" w:cstheme="majorHAnsi"/>
          <w:b/>
          <w:color w:val="DE8400"/>
          <w:sz w:val="28"/>
          <w:u w:val="single"/>
          <w:lang w:val="en-GB"/>
        </w:rPr>
        <w:t>Detailed Country Replies (ordered alphabetically):</w:t>
      </w:r>
    </w:p>
    <w:p w:rsidR="00854590" w:rsidRPr="00A42B3C" w:rsidRDefault="001351AF" w:rsidP="00BD0D33">
      <w:pPr>
        <w:pStyle w:val="Heading1"/>
      </w:pPr>
      <w:bookmarkStart w:id="1" w:name="_Denmark"/>
      <w:bookmarkEnd w:id="1"/>
      <w:r w:rsidRPr="00A42B3C">
        <w:t>Denmark</w:t>
      </w:r>
    </w:p>
    <w:tbl>
      <w:tblPr>
        <w:tblpPr w:leftFromText="180" w:rightFromText="180" w:vertAnchor="text" w:horzAnchor="margin" w:tblpY="152"/>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085"/>
        <w:gridCol w:w="2884"/>
        <w:gridCol w:w="3969"/>
        <w:gridCol w:w="1417"/>
        <w:gridCol w:w="993"/>
        <w:gridCol w:w="1417"/>
        <w:gridCol w:w="709"/>
      </w:tblGrid>
      <w:tr w:rsidR="001351AF" w:rsidRPr="00A42B3C" w:rsidTr="008D7B95">
        <w:trPr>
          <w:trHeight w:val="475"/>
        </w:trPr>
        <w:tc>
          <w:tcPr>
            <w:tcW w:w="846" w:type="dxa"/>
            <w:shd w:val="clear" w:color="auto" w:fill="DE821B"/>
            <w:vAlign w:val="center"/>
          </w:tcPr>
          <w:p w:rsidR="001351AF" w:rsidRPr="00A42B3C" w:rsidRDefault="001351AF" w:rsidP="001351AF">
            <w:pPr>
              <w:jc w:val="center"/>
              <w:rPr>
                <w:rFonts w:asciiTheme="majorHAnsi" w:eastAsia="Times New Roman" w:hAnsiTheme="majorHAnsi" w:cstheme="majorHAnsi"/>
                <w:b/>
                <w:color w:val="FFFFFF" w:themeColor="background1"/>
                <w:sz w:val="16"/>
                <w:szCs w:val="18"/>
                <w:lang w:val="en-GB" w:eastAsia="en-GB"/>
              </w:rPr>
            </w:pPr>
            <w:bookmarkStart w:id="2" w:name="_Denmark:"/>
            <w:bookmarkEnd w:id="2"/>
            <w:r w:rsidRPr="00A42B3C">
              <w:rPr>
                <w:rFonts w:asciiTheme="majorHAnsi" w:eastAsia="Times New Roman" w:hAnsiTheme="majorHAnsi" w:cstheme="majorHAnsi"/>
                <w:b/>
                <w:color w:val="FFFFFF" w:themeColor="background1"/>
                <w:sz w:val="16"/>
                <w:szCs w:val="18"/>
                <w:lang w:val="en-GB" w:eastAsia="en-GB"/>
              </w:rPr>
              <w:t>Ranking of priority</w:t>
            </w:r>
          </w:p>
        </w:tc>
        <w:tc>
          <w:tcPr>
            <w:tcW w:w="1085" w:type="dxa"/>
            <w:shd w:val="clear" w:color="auto" w:fill="DE821B"/>
            <w:vAlign w:val="center"/>
            <w:hideMark/>
          </w:tcPr>
          <w:p w:rsidR="001351AF" w:rsidRPr="00A42B3C" w:rsidRDefault="001351AF" w:rsidP="001351AF">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Location</w:t>
            </w:r>
          </w:p>
        </w:tc>
        <w:tc>
          <w:tcPr>
            <w:tcW w:w="2884" w:type="dxa"/>
            <w:shd w:val="clear" w:color="auto" w:fill="DE821B"/>
            <w:vAlign w:val="center"/>
            <w:hideMark/>
          </w:tcPr>
          <w:p w:rsidR="001351AF" w:rsidRPr="00A42B3C" w:rsidRDefault="001351AF" w:rsidP="001351AF">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Precise passage concerned</w:t>
            </w:r>
          </w:p>
        </w:tc>
        <w:tc>
          <w:tcPr>
            <w:tcW w:w="3969" w:type="dxa"/>
            <w:shd w:val="clear" w:color="auto" w:fill="DE821B"/>
            <w:vAlign w:val="center"/>
            <w:hideMark/>
          </w:tcPr>
          <w:p w:rsidR="001351AF" w:rsidRPr="00A42B3C" w:rsidRDefault="001351AF" w:rsidP="001351AF">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Description of the Issue</w:t>
            </w:r>
          </w:p>
        </w:tc>
        <w:tc>
          <w:tcPr>
            <w:tcW w:w="1417" w:type="dxa"/>
            <w:shd w:val="clear" w:color="auto" w:fill="DE821B"/>
            <w:vAlign w:val="center"/>
            <w:hideMark/>
          </w:tcPr>
          <w:p w:rsidR="001351AF" w:rsidRPr="00A42B3C" w:rsidRDefault="001351AF" w:rsidP="001351AF">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Justification for potential amendment</w:t>
            </w:r>
          </w:p>
        </w:tc>
        <w:tc>
          <w:tcPr>
            <w:tcW w:w="993" w:type="dxa"/>
            <w:shd w:val="clear" w:color="auto" w:fill="DE821B"/>
            <w:vAlign w:val="center"/>
            <w:hideMark/>
          </w:tcPr>
          <w:p w:rsidR="001351AF" w:rsidRPr="00A42B3C" w:rsidRDefault="001351AF" w:rsidP="001351AF">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Level of seriousness</w:t>
            </w:r>
          </w:p>
        </w:tc>
        <w:tc>
          <w:tcPr>
            <w:tcW w:w="1417" w:type="dxa"/>
            <w:shd w:val="clear" w:color="auto" w:fill="DE821B"/>
            <w:vAlign w:val="center"/>
            <w:hideMark/>
          </w:tcPr>
          <w:p w:rsidR="001351AF" w:rsidRPr="00A42B3C" w:rsidRDefault="001351AF" w:rsidP="001351AF">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Proposal for a wording update</w:t>
            </w:r>
          </w:p>
        </w:tc>
        <w:tc>
          <w:tcPr>
            <w:tcW w:w="709" w:type="dxa"/>
            <w:shd w:val="clear" w:color="auto" w:fill="DE821B"/>
            <w:vAlign w:val="center"/>
          </w:tcPr>
          <w:p w:rsidR="001351AF" w:rsidRPr="00A42B3C" w:rsidRDefault="001351AF" w:rsidP="001351AF">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Scope</w:t>
            </w:r>
          </w:p>
        </w:tc>
      </w:tr>
      <w:tr w:rsidR="001351AF" w:rsidRPr="00A42B3C" w:rsidTr="008D7B95">
        <w:trPr>
          <w:trHeight w:val="1582"/>
        </w:trPr>
        <w:tc>
          <w:tcPr>
            <w:tcW w:w="846" w:type="dxa"/>
            <w:vAlign w:val="center"/>
          </w:tcPr>
          <w:p w:rsidR="001351AF" w:rsidRPr="00A42B3C" w:rsidRDefault="001351AF" w:rsidP="001351AF">
            <w:pPr>
              <w:jc w:val="center"/>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1</w:t>
            </w:r>
          </w:p>
        </w:tc>
        <w:tc>
          <w:tcPr>
            <w:tcW w:w="1085" w:type="dxa"/>
            <w:shd w:val="clear" w:color="auto" w:fill="auto"/>
            <w:vAlign w:val="center"/>
          </w:tcPr>
          <w:p w:rsidR="001351AF" w:rsidRPr="00A42B3C" w:rsidRDefault="001351AF"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Article 6 and new 6a of Directive - eligible assets - and article 10 - composition of the cover pool</w:t>
            </w:r>
          </w:p>
        </w:tc>
        <w:tc>
          <w:tcPr>
            <w:tcW w:w="2884" w:type="dxa"/>
            <w:shd w:val="clear" w:color="auto" w:fill="auto"/>
            <w:vAlign w:val="center"/>
          </w:tcPr>
          <w:p w:rsidR="001351AF" w:rsidRPr="00A42B3C" w:rsidRDefault="001351AF" w:rsidP="000B7E74">
            <w:pPr>
              <w:tabs>
                <w:tab w:val="left" w:pos="326"/>
              </w:tabs>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The rapporteur suggests splitting eligible assets in a covered bond in article 6 - CRR compliant covered bonds - and in article 6a -non CRR compliant covered bonds. Article 6a allows for a broad range of cover assets. Regarding article 10 on the composition of the cover pool the rapporteur suggests to split assets in what he calls homogenous groups.</w:t>
            </w:r>
          </w:p>
        </w:tc>
        <w:tc>
          <w:tcPr>
            <w:tcW w:w="3969" w:type="dxa"/>
            <w:shd w:val="clear" w:color="auto" w:fill="auto"/>
            <w:vAlign w:val="center"/>
          </w:tcPr>
          <w:p w:rsidR="001351AF" w:rsidRPr="00A42B3C" w:rsidRDefault="001351AF"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The proposal in article 6a from the rapporteur is too broad. The most problematic part is the inclusion of exposures to counterparties in a very broad sense in article 6</w:t>
            </w:r>
            <w:r w:rsidR="008D7B95" w:rsidRPr="00A42B3C">
              <w:rPr>
                <w:rFonts w:asciiTheme="majorHAnsi" w:eastAsia="Times New Roman" w:hAnsiTheme="majorHAnsi" w:cstheme="majorHAnsi"/>
                <w:color w:val="000000"/>
                <w:sz w:val="14"/>
                <w:szCs w:val="16"/>
                <w:lang w:val="en-GB" w:eastAsia="en-GB"/>
              </w:rPr>
              <w:t>a, paragraph</w:t>
            </w:r>
            <w:r w:rsidRPr="00A42B3C">
              <w:rPr>
                <w:rFonts w:asciiTheme="majorHAnsi" w:eastAsia="Times New Roman" w:hAnsiTheme="majorHAnsi" w:cstheme="majorHAnsi"/>
                <w:color w:val="000000"/>
                <w:sz w:val="14"/>
                <w:szCs w:val="16"/>
                <w:lang w:val="en-GB" w:eastAsia="en-GB"/>
              </w:rPr>
              <w:t xml:space="preserve"> 3 and the requirements on this part in paragraph 4. Requirements on composition of the cover pool is not necessary and might </w:t>
            </w:r>
            <w:r w:rsidR="008D7B95" w:rsidRPr="00A42B3C">
              <w:rPr>
                <w:rFonts w:asciiTheme="majorHAnsi" w:eastAsia="Times New Roman" w:hAnsiTheme="majorHAnsi" w:cstheme="majorHAnsi"/>
                <w:color w:val="000000"/>
                <w:sz w:val="14"/>
                <w:szCs w:val="16"/>
                <w:lang w:val="en-GB" w:eastAsia="en-GB"/>
              </w:rPr>
              <w:t>have undesirable</w:t>
            </w:r>
            <w:r w:rsidRPr="00A42B3C">
              <w:rPr>
                <w:rFonts w:asciiTheme="majorHAnsi" w:eastAsia="Times New Roman" w:hAnsiTheme="majorHAnsi" w:cstheme="majorHAnsi"/>
                <w:color w:val="000000"/>
                <w:sz w:val="14"/>
                <w:szCs w:val="16"/>
                <w:lang w:val="en-GB" w:eastAsia="en-GB"/>
              </w:rPr>
              <w:t xml:space="preserve"> negative effects on investors in terms of issue size and risk diversification.</w:t>
            </w:r>
          </w:p>
        </w:tc>
        <w:tc>
          <w:tcPr>
            <w:tcW w:w="1417" w:type="dxa"/>
            <w:shd w:val="clear" w:color="auto" w:fill="auto"/>
            <w:vAlign w:val="center"/>
          </w:tcPr>
          <w:p w:rsidR="001351AF" w:rsidRPr="00A42B3C" w:rsidRDefault="001351AF" w:rsidP="000B7E74">
            <w:pPr>
              <w:jc w:val="both"/>
              <w:rPr>
                <w:rFonts w:asciiTheme="majorHAnsi" w:eastAsia="Times New Roman" w:hAnsiTheme="majorHAnsi" w:cstheme="majorHAnsi"/>
                <w:color w:val="000000"/>
                <w:sz w:val="14"/>
                <w:szCs w:val="16"/>
                <w:lang w:val="en-GB" w:eastAsia="en-GB"/>
              </w:rPr>
            </w:pPr>
          </w:p>
        </w:tc>
        <w:tc>
          <w:tcPr>
            <w:tcW w:w="993" w:type="dxa"/>
            <w:shd w:val="clear" w:color="auto" w:fill="auto"/>
            <w:vAlign w:val="center"/>
          </w:tcPr>
          <w:p w:rsidR="001351AF" w:rsidRPr="00A42B3C" w:rsidRDefault="001351AF"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High</w:t>
            </w:r>
          </w:p>
        </w:tc>
        <w:tc>
          <w:tcPr>
            <w:tcW w:w="1417" w:type="dxa"/>
            <w:shd w:val="clear" w:color="auto" w:fill="auto"/>
            <w:vAlign w:val="center"/>
          </w:tcPr>
          <w:p w:rsidR="001351AF" w:rsidRPr="00A42B3C" w:rsidRDefault="001351AF"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Article 6 - in process   Article 10 -delete</w:t>
            </w:r>
          </w:p>
        </w:tc>
        <w:tc>
          <w:tcPr>
            <w:tcW w:w="709" w:type="dxa"/>
          </w:tcPr>
          <w:p w:rsidR="001351AF" w:rsidRPr="00A42B3C" w:rsidRDefault="001351AF"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EU</w:t>
            </w:r>
          </w:p>
        </w:tc>
      </w:tr>
      <w:tr w:rsidR="001351AF" w:rsidRPr="00A42B3C" w:rsidTr="008D7B95">
        <w:trPr>
          <w:trHeight w:val="1582"/>
        </w:trPr>
        <w:tc>
          <w:tcPr>
            <w:tcW w:w="846" w:type="dxa"/>
            <w:vAlign w:val="center"/>
          </w:tcPr>
          <w:p w:rsidR="001351AF" w:rsidRPr="00A42B3C" w:rsidRDefault="004B65C3" w:rsidP="001351AF">
            <w:pPr>
              <w:jc w:val="center"/>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1</w:t>
            </w:r>
          </w:p>
        </w:tc>
        <w:tc>
          <w:tcPr>
            <w:tcW w:w="1085" w:type="dxa"/>
            <w:shd w:val="clear" w:color="auto" w:fill="auto"/>
            <w:vAlign w:val="center"/>
          </w:tcPr>
          <w:p w:rsidR="001351AF" w:rsidRPr="00A42B3C" w:rsidRDefault="001351AF"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Article 8 and 9 of Directive and propose a transitional period in CRR 129 - intragroup pooled covered bonds structures</w:t>
            </w:r>
          </w:p>
        </w:tc>
        <w:tc>
          <w:tcPr>
            <w:tcW w:w="2884" w:type="dxa"/>
            <w:shd w:val="clear" w:color="auto" w:fill="auto"/>
            <w:vAlign w:val="center"/>
          </w:tcPr>
          <w:p w:rsidR="001351AF" w:rsidRPr="00A42B3C" w:rsidRDefault="001351AF" w:rsidP="000B7E74">
            <w:pPr>
              <w:tabs>
                <w:tab w:val="left" w:pos="326"/>
              </w:tabs>
              <w:jc w:val="both"/>
              <w:rPr>
                <w:rFonts w:asciiTheme="majorHAnsi" w:eastAsiaTheme="majorEastAsia" w:hAnsiTheme="majorHAnsi" w:cstheme="majorHAnsi"/>
                <w:sz w:val="14"/>
                <w:szCs w:val="16"/>
                <w:lang w:val="en-GB"/>
              </w:rPr>
            </w:pPr>
            <w:r w:rsidRPr="00A42B3C">
              <w:rPr>
                <w:rFonts w:asciiTheme="majorHAnsi" w:eastAsiaTheme="majorEastAsia" w:hAnsiTheme="majorHAnsi" w:cstheme="majorHAnsi"/>
                <w:sz w:val="14"/>
                <w:szCs w:val="16"/>
                <w:lang w:val="en-GB"/>
              </w:rPr>
              <w:t>Rapporteur suggests deleting article 8 + modifying article 9</w:t>
            </w:r>
          </w:p>
        </w:tc>
        <w:tc>
          <w:tcPr>
            <w:tcW w:w="3969" w:type="dxa"/>
            <w:shd w:val="clear" w:color="auto" w:fill="auto"/>
            <w:vAlign w:val="center"/>
          </w:tcPr>
          <w:p w:rsidR="001351AF" w:rsidRPr="00A42B3C" w:rsidRDefault="001351AF"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The concerns raised by the rapporteur regarding the use of internally issued covered bonds seems unfounded and the proposal for a modified article 9 doesn’t necessarily entail level playing field between different business models.</w:t>
            </w:r>
          </w:p>
        </w:tc>
        <w:tc>
          <w:tcPr>
            <w:tcW w:w="1417" w:type="dxa"/>
            <w:shd w:val="clear" w:color="auto" w:fill="auto"/>
            <w:vAlign w:val="center"/>
          </w:tcPr>
          <w:p w:rsidR="001351AF" w:rsidRPr="00A42B3C" w:rsidRDefault="001351AF" w:rsidP="000B7E74">
            <w:pPr>
              <w:jc w:val="both"/>
              <w:rPr>
                <w:rFonts w:asciiTheme="majorHAnsi" w:eastAsia="Times New Roman" w:hAnsiTheme="majorHAnsi" w:cstheme="majorHAnsi"/>
                <w:color w:val="000000"/>
                <w:sz w:val="14"/>
                <w:szCs w:val="16"/>
                <w:lang w:val="en-GB" w:eastAsia="en-GB"/>
              </w:rPr>
            </w:pPr>
          </w:p>
        </w:tc>
        <w:tc>
          <w:tcPr>
            <w:tcW w:w="993" w:type="dxa"/>
            <w:shd w:val="clear" w:color="auto" w:fill="auto"/>
            <w:vAlign w:val="center"/>
          </w:tcPr>
          <w:p w:rsidR="001351AF" w:rsidRPr="00A42B3C" w:rsidRDefault="001351AF"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high</w:t>
            </w:r>
          </w:p>
        </w:tc>
        <w:tc>
          <w:tcPr>
            <w:tcW w:w="1417" w:type="dxa"/>
            <w:shd w:val="clear" w:color="auto" w:fill="auto"/>
            <w:vAlign w:val="center"/>
          </w:tcPr>
          <w:p w:rsidR="001351AF" w:rsidRPr="00A42B3C" w:rsidRDefault="001351AF" w:rsidP="000B7E74">
            <w:pPr>
              <w:pStyle w:val="ListParagraph"/>
              <w:tabs>
                <w:tab w:val="left" w:pos="153"/>
              </w:tabs>
              <w:ind w:left="0"/>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Keep the proposal from the Commission with some amendments</w:t>
            </w:r>
          </w:p>
        </w:tc>
        <w:tc>
          <w:tcPr>
            <w:tcW w:w="709" w:type="dxa"/>
          </w:tcPr>
          <w:p w:rsidR="001351AF" w:rsidRPr="00A42B3C" w:rsidRDefault="001351AF" w:rsidP="000B7E74">
            <w:pPr>
              <w:pStyle w:val="ListParagraph"/>
              <w:tabs>
                <w:tab w:val="left" w:pos="153"/>
              </w:tabs>
              <w:ind w:left="0"/>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National</w:t>
            </w:r>
          </w:p>
          <w:p w:rsidR="001351AF" w:rsidRPr="00A42B3C" w:rsidRDefault="001351AF" w:rsidP="000B7E74">
            <w:pPr>
              <w:pStyle w:val="ListParagraph"/>
              <w:tabs>
                <w:tab w:val="left" w:pos="153"/>
              </w:tabs>
              <w:ind w:left="0"/>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EU</w:t>
            </w:r>
          </w:p>
        </w:tc>
      </w:tr>
      <w:tr w:rsidR="001351AF" w:rsidRPr="00A42B3C" w:rsidTr="008D7B95">
        <w:trPr>
          <w:trHeight w:val="1582"/>
        </w:trPr>
        <w:tc>
          <w:tcPr>
            <w:tcW w:w="846" w:type="dxa"/>
            <w:vAlign w:val="center"/>
          </w:tcPr>
          <w:p w:rsidR="001351AF" w:rsidRPr="00A42B3C" w:rsidRDefault="004B65C3" w:rsidP="001351AF">
            <w:pPr>
              <w:jc w:val="center"/>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1</w:t>
            </w:r>
          </w:p>
        </w:tc>
        <w:tc>
          <w:tcPr>
            <w:tcW w:w="1085" w:type="dxa"/>
            <w:shd w:val="clear" w:color="auto" w:fill="auto"/>
            <w:vAlign w:val="center"/>
          </w:tcPr>
          <w:p w:rsidR="001351AF" w:rsidRPr="00A42B3C" w:rsidRDefault="001351AF"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Article 1</w:t>
            </w:r>
            <w:r w:rsidR="00B90D7E" w:rsidRPr="00A42B3C">
              <w:rPr>
                <w:rFonts w:asciiTheme="majorHAnsi" w:eastAsia="Times New Roman" w:hAnsiTheme="majorHAnsi" w:cstheme="majorHAnsi"/>
                <w:color w:val="000000"/>
                <w:sz w:val="14"/>
                <w:szCs w:val="16"/>
                <w:lang w:val="en-GB" w:eastAsia="en-GB"/>
              </w:rPr>
              <w:t>7</w:t>
            </w:r>
            <w:r w:rsidRPr="00A42B3C">
              <w:rPr>
                <w:rFonts w:asciiTheme="majorHAnsi" w:eastAsia="Times New Roman" w:hAnsiTheme="majorHAnsi" w:cstheme="majorHAnsi"/>
                <w:color w:val="000000"/>
                <w:sz w:val="14"/>
                <w:szCs w:val="16"/>
                <w:lang w:val="en-GB" w:eastAsia="en-GB"/>
              </w:rPr>
              <w:t xml:space="preserve"> </w:t>
            </w:r>
            <w:r w:rsidR="00510A49" w:rsidRPr="00A42B3C">
              <w:rPr>
                <w:rFonts w:asciiTheme="majorHAnsi" w:eastAsia="Times New Roman" w:hAnsiTheme="majorHAnsi" w:cstheme="majorHAnsi"/>
                <w:color w:val="000000"/>
                <w:sz w:val="14"/>
                <w:szCs w:val="16"/>
                <w:lang w:val="en-GB" w:eastAsia="en-GB"/>
              </w:rPr>
              <w:t>of Directive and new paragraph 7b</w:t>
            </w:r>
            <w:r w:rsidRPr="00A42B3C">
              <w:rPr>
                <w:rFonts w:asciiTheme="majorHAnsi" w:eastAsia="Times New Roman" w:hAnsiTheme="majorHAnsi" w:cstheme="majorHAnsi"/>
                <w:color w:val="000000"/>
                <w:sz w:val="14"/>
                <w:szCs w:val="16"/>
                <w:lang w:val="en-GB" w:eastAsia="en-GB"/>
              </w:rPr>
              <w:t xml:space="preserve"> in Article 129 CRR - extendable maturity</w:t>
            </w:r>
          </w:p>
        </w:tc>
        <w:tc>
          <w:tcPr>
            <w:tcW w:w="2884" w:type="dxa"/>
            <w:shd w:val="clear" w:color="auto" w:fill="auto"/>
            <w:vAlign w:val="center"/>
          </w:tcPr>
          <w:p w:rsidR="001351AF" w:rsidRPr="00A42B3C" w:rsidRDefault="00B90D7E" w:rsidP="00B90D7E">
            <w:pPr>
              <w:tabs>
                <w:tab w:val="left" w:pos="326"/>
              </w:tabs>
              <w:jc w:val="both"/>
              <w:rPr>
                <w:rFonts w:asciiTheme="majorHAnsi" w:eastAsiaTheme="majorEastAsia" w:hAnsiTheme="majorHAnsi" w:cstheme="majorHAnsi"/>
                <w:sz w:val="14"/>
                <w:szCs w:val="16"/>
                <w:lang w:val="en-GB"/>
              </w:rPr>
            </w:pPr>
            <w:r w:rsidRPr="00A42B3C">
              <w:rPr>
                <w:rFonts w:asciiTheme="majorHAnsi" w:eastAsiaTheme="majorEastAsia" w:hAnsiTheme="majorHAnsi" w:cstheme="majorHAnsi"/>
                <w:sz w:val="14"/>
                <w:szCs w:val="16"/>
                <w:lang w:val="en-GB"/>
              </w:rPr>
              <w:t>Rapporteur suggests to add a new paragraph 7b in Article 129 in CRR which gradually increases the risk weight for covered bonds whose maturity can be extended by more than a year.</w:t>
            </w:r>
          </w:p>
          <w:p w:rsidR="001351AF" w:rsidRPr="00A42B3C" w:rsidRDefault="001351AF" w:rsidP="000B7E74">
            <w:pPr>
              <w:pStyle w:val="ListParagraph"/>
              <w:tabs>
                <w:tab w:val="left" w:pos="326"/>
              </w:tabs>
              <w:ind w:left="0"/>
              <w:jc w:val="both"/>
              <w:rPr>
                <w:rFonts w:asciiTheme="majorHAnsi" w:eastAsiaTheme="majorEastAsia" w:hAnsiTheme="majorHAnsi" w:cstheme="majorHAnsi"/>
                <w:sz w:val="14"/>
                <w:szCs w:val="16"/>
                <w:lang w:val="en-GB"/>
              </w:rPr>
            </w:pPr>
            <w:r w:rsidRPr="00A42B3C">
              <w:rPr>
                <w:rFonts w:asciiTheme="majorHAnsi" w:eastAsiaTheme="majorEastAsia" w:hAnsiTheme="majorHAnsi" w:cstheme="majorHAnsi"/>
                <w:sz w:val="14"/>
                <w:szCs w:val="16"/>
                <w:lang w:val="en-GB"/>
              </w:rPr>
              <w:t>The rapporteur also suggests amendments in Article 17 saying that extension may only be used in the event of insolvency or resolution.</w:t>
            </w:r>
          </w:p>
        </w:tc>
        <w:tc>
          <w:tcPr>
            <w:tcW w:w="3969" w:type="dxa"/>
            <w:shd w:val="clear" w:color="auto" w:fill="auto"/>
            <w:vAlign w:val="center"/>
          </w:tcPr>
          <w:p w:rsidR="001351AF" w:rsidRPr="00A42B3C" w:rsidRDefault="001351AF"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There should be room for developments in the market regarding the use of extendable maturity structures. This will not be possible with the amendments from the rapporteur.</w:t>
            </w:r>
          </w:p>
          <w:p w:rsidR="001351AF" w:rsidRPr="00A42B3C" w:rsidRDefault="001351AF" w:rsidP="000B7E74">
            <w:pPr>
              <w:jc w:val="both"/>
              <w:rPr>
                <w:rFonts w:asciiTheme="majorHAnsi" w:eastAsia="Times New Roman" w:hAnsiTheme="majorHAnsi" w:cstheme="majorHAnsi"/>
                <w:color w:val="000000"/>
                <w:sz w:val="14"/>
                <w:szCs w:val="16"/>
                <w:lang w:val="en-GB" w:eastAsia="en-GB"/>
              </w:rPr>
            </w:pPr>
          </w:p>
          <w:p w:rsidR="001351AF" w:rsidRPr="00A42B3C" w:rsidRDefault="001351AF"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Regarding the specific proposals there is no need for a modification of the risk weighting of covered bonds with extendable maturity. The investors have full transparency of these structures.</w:t>
            </w:r>
          </w:p>
        </w:tc>
        <w:tc>
          <w:tcPr>
            <w:tcW w:w="1417" w:type="dxa"/>
            <w:shd w:val="clear" w:color="auto" w:fill="auto"/>
            <w:vAlign w:val="center"/>
          </w:tcPr>
          <w:p w:rsidR="001351AF" w:rsidRPr="00A42B3C" w:rsidRDefault="001351AF" w:rsidP="000B7E74">
            <w:pPr>
              <w:jc w:val="both"/>
              <w:rPr>
                <w:rFonts w:asciiTheme="majorHAnsi" w:eastAsia="Times New Roman" w:hAnsiTheme="majorHAnsi" w:cstheme="majorHAnsi"/>
                <w:color w:val="000000"/>
                <w:sz w:val="14"/>
                <w:szCs w:val="16"/>
                <w:lang w:val="en-GB" w:eastAsia="en-GB"/>
              </w:rPr>
            </w:pPr>
          </w:p>
        </w:tc>
        <w:tc>
          <w:tcPr>
            <w:tcW w:w="993" w:type="dxa"/>
            <w:shd w:val="clear" w:color="auto" w:fill="auto"/>
            <w:vAlign w:val="center"/>
          </w:tcPr>
          <w:p w:rsidR="001351AF" w:rsidRPr="00A42B3C" w:rsidRDefault="001351AF"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high</w:t>
            </w:r>
          </w:p>
        </w:tc>
        <w:tc>
          <w:tcPr>
            <w:tcW w:w="1417" w:type="dxa"/>
            <w:shd w:val="clear" w:color="auto" w:fill="auto"/>
            <w:vAlign w:val="center"/>
          </w:tcPr>
          <w:p w:rsidR="001351AF" w:rsidRPr="00A42B3C" w:rsidRDefault="001351AF" w:rsidP="000B7E74">
            <w:pPr>
              <w:pStyle w:val="ListParagraph"/>
              <w:tabs>
                <w:tab w:val="left" w:pos="153"/>
              </w:tabs>
              <w:ind w:left="0"/>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Keep the proposal from the Commission with some minor amendments</w:t>
            </w:r>
          </w:p>
        </w:tc>
        <w:tc>
          <w:tcPr>
            <w:tcW w:w="709" w:type="dxa"/>
          </w:tcPr>
          <w:p w:rsidR="001351AF" w:rsidRPr="00A42B3C" w:rsidRDefault="004B65C3" w:rsidP="000B7E74">
            <w:pPr>
              <w:pStyle w:val="ListParagraph"/>
              <w:tabs>
                <w:tab w:val="left" w:pos="153"/>
              </w:tabs>
              <w:ind w:left="0"/>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EU</w:t>
            </w:r>
          </w:p>
        </w:tc>
      </w:tr>
      <w:tr w:rsidR="001351AF" w:rsidRPr="00A42B3C" w:rsidTr="00B17B60">
        <w:trPr>
          <w:trHeight w:val="70"/>
        </w:trPr>
        <w:tc>
          <w:tcPr>
            <w:tcW w:w="846" w:type="dxa"/>
            <w:vAlign w:val="center"/>
          </w:tcPr>
          <w:p w:rsidR="001351AF" w:rsidRPr="00A42B3C" w:rsidRDefault="004B65C3" w:rsidP="001351AF">
            <w:pPr>
              <w:jc w:val="center"/>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1</w:t>
            </w:r>
          </w:p>
        </w:tc>
        <w:tc>
          <w:tcPr>
            <w:tcW w:w="1085" w:type="dxa"/>
            <w:shd w:val="clear" w:color="auto" w:fill="auto"/>
            <w:vAlign w:val="center"/>
          </w:tcPr>
          <w:p w:rsidR="001351AF" w:rsidRPr="00A42B3C" w:rsidRDefault="001351AF" w:rsidP="000B7E74">
            <w:pPr>
              <w:jc w:val="both"/>
              <w:rPr>
                <w:rFonts w:asciiTheme="majorHAnsi" w:eastAsia="Times New Roman" w:hAnsiTheme="majorHAnsi" w:cstheme="majorHAnsi"/>
                <w:b/>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Article 129 of CRR - exposures to credit institutions (credit quality step 2)</w:t>
            </w:r>
            <w:r w:rsidR="00B90D7E" w:rsidRPr="00A42B3C">
              <w:rPr>
                <w:rFonts w:asciiTheme="majorHAnsi" w:eastAsia="Times New Roman" w:hAnsiTheme="majorHAnsi" w:cstheme="majorHAnsi"/>
                <w:color w:val="000000"/>
                <w:sz w:val="14"/>
                <w:szCs w:val="16"/>
                <w:lang w:val="en-GB" w:eastAsia="en-GB"/>
              </w:rPr>
              <w:t xml:space="preserve"> and Article 15 of Directive</w:t>
            </w:r>
          </w:p>
        </w:tc>
        <w:tc>
          <w:tcPr>
            <w:tcW w:w="2884" w:type="dxa"/>
            <w:shd w:val="clear" w:color="auto" w:fill="auto"/>
          </w:tcPr>
          <w:p w:rsidR="001351AF" w:rsidRPr="00A42B3C" w:rsidRDefault="001351AF"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The rapporteur cannot support the proposal from the Commission to allow a use of credit quality step 2 exposures to credit institutions without documentation of problems with concentration risk in the market and without notifying EBA. It is proposed to give a possibility to use credit quality 2 exposures but only in times of stress and temporarily.</w:t>
            </w:r>
          </w:p>
        </w:tc>
        <w:tc>
          <w:tcPr>
            <w:tcW w:w="3969" w:type="dxa"/>
            <w:shd w:val="clear" w:color="auto" w:fill="auto"/>
            <w:vAlign w:val="center"/>
          </w:tcPr>
          <w:p w:rsidR="004B65C3" w:rsidRPr="00A42B3C" w:rsidRDefault="001351AF" w:rsidP="004B65C3">
            <w:pPr>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It is important to be able to use exposures to credit institutions of credit quality step 2 on a permanent basis and not only in times of stress.</w:t>
            </w:r>
            <w:r w:rsidR="004B65C3" w:rsidRPr="00A42B3C">
              <w:rPr>
                <w:rFonts w:asciiTheme="majorHAnsi" w:eastAsia="Times New Roman" w:hAnsiTheme="majorHAnsi" w:cstheme="majorHAnsi"/>
                <w:color w:val="000000"/>
                <w:sz w:val="14"/>
                <w:szCs w:val="16"/>
                <w:lang w:val="en-GB" w:eastAsia="en-GB"/>
              </w:rPr>
              <w:t xml:space="preserve">  It is also necessary with an amendment saying that if the market value of the derivative is secured by cash or government bonds the exposure is not against a credit institution and should not fall under the limits for exposures to credit institutions in CRR 129. </w:t>
            </w:r>
          </w:p>
          <w:p w:rsidR="004B65C3" w:rsidRPr="00A42B3C" w:rsidRDefault="004B65C3" w:rsidP="004B65C3">
            <w:pPr>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In the coverage requirements in article 15 in the Covered Bond directive is should be stated that derivates can contribute to coverage by their market value.</w:t>
            </w:r>
          </w:p>
          <w:p w:rsidR="001351AF" w:rsidRPr="00A42B3C" w:rsidRDefault="001351AF" w:rsidP="000B7E74">
            <w:pPr>
              <w:jc w:val="both"/>
              <w:rPr>
                <w:rFonts w:asciiTheme="majorHAnsi" w:eastAsia="Times New Roman" w:hAnsiTheme="majorHAnsi" w:cstheme="majorHAnsi"/>
                <w:color w:val="000000"/>
                <w:sz w:val="14"/>
                <w:szCs w:val="16"/>
                <w:lang w:val="en-GB" w:eastAsia="en-GB"/>
              </w:rPr>
            </w:pPr>
          </w:p>
        </w:tc>
        <w:tc>
          <w:tcPr>
            <w:tcW w:w="1417" w:type="dxa"/>
            <w:shd w:val="clear" w:color="auto" w:fill="auto"/>
            <w:vAlign w:val="center"/>
          </w:tcPr>
          <w:p w:rsidR="001351AF" w:rsidRPr="00A42B3C" w:rsidRDefault="001351AF" w:rsidP="000B7E74">
            <w:pPr>
              <w:jc w:val="both"/>
              <w:rPr>
                <w:rFonts w:asciiTheme="majorHAnsi" w:eastAsia="Times New Roman" w:hAnsiTheme="majorHAnsi" w:cstheme="majorHAnsi"/>
                <w:color w:val="000000"/>
                <w:sz w:val="14"/>
                <w:szCs w:val="16"/>
                <w:lang w:val="en-GB" w:eastAsia="en-GB"/>
              </w:rPr>
            </w:pPr>
          </w:p>
        </w:tc>
        <w:tc>
          <w:tcPr>
            <w:tcW w:w="993" w:type="dxa"/>
            <w:shd w:val="clear" w:color="auto" w:fill="auto"/>
            <w:vAlign w:val="center"/>
          </w:tcPr>
          <w:p w:rsidR="001351AF" w:rsidRPr="00A42B3C" w:rsidRDefault="001351AF"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high</w:t>
            </w:r>
          </w:p>
        </w:tc>
        <w:tc>
          <w:tcPr>
            <w:tcW w:w="1417" w:type="dxa"/>
            <w:shd w:val="clear" w:color="auto" w:fill="auto"/>
            <w:vAlign w:val="center"/>
          </w:tcPr>
          <w:p w:rsidR="001351AF" w:rsidRPr="00A42B3C" w:rsidRDefault="001351AF"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Keep the proposal from the Commission</w:t>
            </w:r>
          </w:p>
        </w:tc>
        <w:tc>
          <w:tcPr>
            <w:tcW w:w="709" w:type="dxa"/>
          </w:tcPr>
          <w:p w:rsidR="001351AF" w:rsidRPr="00A42B3C" w:rsidRDefault="004B65C3"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EU</w:t>
            </w:r>
          </w:p>
        </w:tc>
      </w:tr>
    </w:tbl>
    <w:p w:rsidR="002C0D5A" w:rsidRPr="00A42B3C" w:rsidRDefault="00B17B60" w:rsidP="001351AF">
      <w:pPr>
        <w:jc w:val="both"/>
        <w:rPr>
          <w:sz w:val="18"/>
          <w:szCs w:val="18"/>
          <w:lang w:val="en-GB"/>
        </w:rPr>
      </w:pPr>
      <w:r w:rsidRPr="00A42B3C">
        <w:rPr>
          <w:rFonts w:asciiTheme="majorHAnsi" w:hAnsiTheme="majorHAnsi" w:cstheme="majorHAnsi"/>
          <w:noProof/>
          <w:sz w:val="16"/>
          <w:szCs w:val="16"/>
          <w:lang w:val="en-GB"/>
        </w:rPr>
        <mc:AlternateContent>
          <mc:Choice Requires="wps">
            <w:drawing>
              <wp:anchor distT="0" distB="0" distL="114300" distR="114300" simplePos="0" relativeHeight="251668480" behindDoc="0" locked="0" layoutInCell="1" allowOverlap="1" wp14:anchorId="60FA597E" wp14:editId="7F48139B">
                <wp:simplePos x="0" y="0"/>
                <wp:positionH relativeFrom="column">
                  <wp:posOffset>-307975</wp:posOffset>
                </wp:positionH>
                <wp:positionV relativeFrom="paragraph">
                  <wp:posOffset>4986655</wp:posOffset>
                </wp:positionV>
                <wp:extent cx="1572895" cy="274955"/>
                <wp:effectExtent l="0" t="0" r="8255" b="0"/>
                <wp:wrapNone/>
                <wp:docPr id="22" name="Text Box 22"/>
                <wp:cNvGraphicFramePr/>
                <a:graphic xmlns:a="http://schemas.openxmlformats.org/drawingml/2006/main">
                  <a:graphicData uri="http://schemas.microsoft.com/office/word/2010/wordprocessingShape">
                    <wps:wsp>
                      <wps:cNvSpPr txBox="1"/>
                      <wps:spPr>
                        <a:xfrm>
                          <a:off x="0" y="0"/>
                          <a:ext cx="1572895" cy="274955"/>
                        </a:xfrm>
                        <a:prstGeom prst="rect">
                          <a:avLst/>
                        </a:prstGeom>
                        <a:solidFill>
                          <a:schemeClr val="lt1"/>
                        </a:solidFill>
                        <a:ln w="6350">
                          <a:noFill/>
                        </a:ln>
                      </wps:spPr>
                      <wps:txbx>
                        <w:txbxContent>
                          <w:p w:rsidR="002F6214" w:rsidRPr="004A3071" w:rsidRDefault="002F6214" w:rsidP="007B3670">
                            <w:pPr>
                              <w:rPr>
                                <w:rFonts w:asciiTheme="majorHAnsi" w:hAnsiTheme="majorHAnsi" w:cstheme="majorHAnsi"/>
                                <w:i/>
                                <w:sz w:val="20"/>
                                <w:szCs w:val="20"/>
                                <w:lang w:val="en-GB"/>
                              </w:rPr>
                            </w:pPr>
                            <w:r w:rsidRPr="004A3071">
                              <w:rPr>
                                <w:rFonts w:asciiTheme="majorHAnsi" w:hAnsiTheme="majorHAnsi" w:cstheme="majorHAnsi"/>
                                <w:i/>
                                <w:sz w:val="20"/>
                                <w:szCs w:val="20"/>
                                <w:lang w:val="en-GB"/>
                              </w:rPr>
                              <w:t>Source: Finance Denmark</w:t>
                            </w:r>
                            <w:bookmarkStart w:id="3" w:name="_France:"/>
                            <w:bookmarkEnd w:id="3"/>
                          </w:p>
                          <w:p w:rsidR="002F6214" w:rsidRDefault="002F6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A597E" id="_x0000_t202" coordsize="21600,21600" o:spt="202" path="m,l,21600r21600,l21600,xe">
                <v:stroke joinstyle="miter"/>
                <v:path gradientshapeok="t" o:connecttype="rect"/>
              </v:shapetype>
              <v:shape id="Text Box 22" o:spid="_x0000_s1026" type="#_x0000_t202" style="position:absolute;left:0;text-align:left;margin-left:-24.25pt;margin-top:392.65pt;width:123.85pt;height:2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" fillcolor="white [3201]" stroked="f" strokeweight=".5pt">
                <v:textbox>
                  <w:txbxContent>
                    <w:p w:rsidR="002F6214" w:rsidRPr="004A3071" w:rsidRDefault="002F6214" w:rsidP="007B3670">
                      <w:pPr>
                        <w:rPr>
                          <w:rFonts w:asciiTheme="majorHAnsi" w:hAnsiTheme="majorHAnsi" w:cstheme="majorHAnsi"/>
                          <w:i/>
                          <w:sz w:val="20"/>
                          <w:szCs w:val="20"/>
                          <w:lang w:val="en-GB"/>
                        </w:rPr>
                      </w:pPr>
                      <w:r w:rsidRPr="004A3071">
                        <w:rPr>
                          <w:rFonts w:asciiTheme="majorHAnsi" w:hAnsiTheme="majorHAnsi" w:cstheme="majorHAnsi"/>
                          <w:i/>
                          <w:sz w:val="20"/>
                          <w:szCs w:val="20"/>
                          <w:lang w:val="en-GB"/>
                        </w:rPr>
                        <w:t>Source: Finance Denmark</w:t>
                      </w:r>
                      <w:bookmarkStart w:id="4" w:name="_France:"/>
                      <w:bookmarkEnd w:id="4"/>
                    </w:p>
                    <w:p w:rsidR="002F6214" w:rsidRDefault="002F6214"/>
                  </w:txbxContent>
                </v:textbox>
              </v:shape>
            </w:pict>
          </mc:Fallback>
        </mc:AlternateContent>
      </w:r>
    </w:p>
    <w:p w:rsidR="00724AC0" w:rsidRDefault="00724AC0" w:rsidP="001351AF">
      <w:pPr>
        <w:pStyle w:val="Heading1"/>
      </w:pPr>
      <w:bookmarkStart w:id="5" w:name="_Germany"/>
      <w:bookmarkStart w:id="6" w:name="_France"/>
      <w:bookmarkStart w:id="7" w:name="_Finland"/>
      <w:bookmarkEnd w:id="5"/>
      <w:bookmarkEnd w:id="6"/>
      <w:bookmarkEnd w:id="7"/>
      <w:r>
        <w:lastRenderedPageBreak/>
        <w:t>Finland</w:t>
      </w:r>
    </w:p>
    <w:p w:rsidR="00724AC0" w:rsidRDefault="00724AC0" w:rsidP="00724AC0">
      <w:pPr>
        <w:rPr>
          <w:lang w:val="en-GB"/>
        </w:rPr>
      </w:pPr>
    </w:p>
    <w:tbl>
      <w:tblPr>
        <w:tblpPr w:leftFromText="180" w:rightFromText="180" w:vertAnchor="text" w:horzAnchor="margin" w:tblpX="-714" w:tblpY="80"/>
        <w:tblW w:w="1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50"/>
        <w:gridCol w:w="2977"/>
        <w:gridCol w:w="3402"/>
        <w:gridCol w:w="3260"/>
        <w:gridCol w:w="851"/>
        <w:gridCol w:w="2840"/>
        <w:gridCol w:w="709"/>
      </w:tblGrid>
      <w:tr w:rsidR="00724AC0" w:rsidRPr="00A42B3C" w:rsidTr="00724AC0">
        <w:trPr>
          <w:trHeight w:val="475"/>
        </w:trPr>
        <w:tc>
          <w:tcPr>
            <w:tcW w:w="846" w:type="dxa"/>
            <w:shd w:val="clear" w:color="auto" w:fill="DE821B"/>
            <w:vAlign w:val="center"/>
          </w:tcPr>
          <w:p w:rsidR="00724AC0" w:rsidRPr="00A42B3C" w:rsidRDefault="00724AC0" w:rsidP="00724AC0">
            <w:pPr>
              <w:jc w:val="center"/>
              <w:rPr>
                <w:rFonts w:asciiTheme="majorHAnsi" w:eastAsia="Times New Roman" w:hAnsiTheme="majorHAnsi" w:cstheme="majorHAnsi"/>
                <w:b/>
                <w:color w:val="FFFFFF" w:themeColor="background1"/>
                <w:sz w:val="14"/>
                <w:szCs w:val="16"/>
                <w:lang w:val="en-GB" w:eastAsia="en-GB"/>
              </w:rPr>
            </w:pPr>
            <w:r w:rsidRPr="00A42B3C">
              <w:rPr>
                <w:rFonts w:asciiTheme="majorHAnsi" w:eastAsia="Times New Roman" w:hAnsiTheme="majorHAnsi" w:cstheme="majorHAnsi"/>
                <w:b/>
                <w:color w:val="FFFFFF" w:themeColor="background1"/>
                <w:sz w:val="14"/>
                <w:szCs w:val="16"/>
                <w:lang w:val="en-GB" w:eastAsia="en-GB"/>
              </w:rPr>
              <w:t>Ranking of priority</w:t>
            </w:r>
          </w:p>
        </w:tc>
        <w:tc>
          <w:tcPr>
            <w:tcW w:w="850" w:type="dxa"/>
            <w:shd w:val="clear" w:color="auto" w:fill="DE821B"/>
            <w:vAlign w:val="center"/>
            <w:hideMark/>
          </w:tcPr>
          <w:p w:rsidR="00724AC0" w:rsidRPr="00A42B3C" w:rsidRDefault="00724AC0" w:rsidP="00724AC0">
            <w:pPr>
              <w:jc w:val="center"/>
              <w:rPr>
                <w:rFonts w:asciiTheme="majorHAnsi" w:eastAsia="Times New Roman" w:hAnsiTheme="majorHAnsi" w:cstheme="majorHAnsi"/>
                <w:b/>
                <w:color w:val="FFFFFF" w:themeColor="background1"/>
                <w:sz w:val="14"/>
                <w:szCs w:val="16"/>
                <w:lang w:val="en-GB" w:eastAsia="en-GB"/>
              </w:rPr>
            </w:pPr>
            <w:r w:rsidRPr="00A42B3C">
              <w:rPr>
                <w:rFonts w:asciiTheme="majorHAnsi" w:eastAsia="Times New Roman" w:hAnsiTheme="majorHAnsi" w:cstheme="majorHAnsi"/>
                <w:b/>
                <w:color w:val="FFFFFF" w:themeColor="background1"/>
                <w:sz w:val="14"/>
                <w:szCs w:val="16"/>
                <w:lang w:val="en-GB" w:eastAsia="en-GB"/>
              </w:rPr>
              <w:t>Location</w:t>
            </w:r>
          </w:p>
        </w:tc>
        <w:tc>
          <w:tcPr>
            <w:tcW w:w="2977" w:type="dxa"/>
            <w:shd w:val="clear" w:color="auto" w:fill="DE821B"/>
            <w:vAlign w:val="center"/>
            <w:hideMark/>
          </w:tcPr>
          <w:p w:rsidR="00724AC0" w:rsidRPr="00A42B3C" w:rsidRDefault="00724AC0" w:rsidP="00724AC0">
            <w:pPr>
              <w:jc w:val="center"/>
              <w:rPr>
                <w:rFonts w:asciiTheme="majorHAnsi" w:eastAsia="Times New Roman" w:hAnsiTheme="majorHAnsi" w:cstheme="majorHAnsi"/>
                <w:b/>
                <w:color w:val="FFFFFF" w:themeColor="background1"/>
                <w:sz w:val="14"/>
                <w:szCs w:val="16"/>
                <w:lang w:val="en-GB" w:eastAsia="en-GB"/>
              </w:rPr>
            </w:pPr>
            <w:r w:rsidRPr="00A42B3C">
              <w:rPr>
                <w:rFonts w:asciiTheme="majorHAnsi" w:eastAsia="Times New Roman" w:hAnsiTheme="majorHAnsi" w:cstheme="majorHAnsi"/>
                <w:b/>
                <w:color w:val="FFFFFF" w:themeColor="background1"/>
                <w:sz w:val="14"/>
                <w:szCs w:val="16"/>
                <w:lang w:val="en-GB" w:eastAsia="en-GB"/>
              </w:rPr>
              <w:t>Precise passage concerned</w:t>
            </w:r>
          </w:p>
        </w:tc>
        <w:tc>
          <w:tcPr>
            <w:tcW w:w="3402" w:type="dxa"/>
            <w:shd w:val="clear" w:color="auto" w:fill="DE821B"/>
            <w:vAlign w:val="center"/>
            <w:hideMark/>
          </w:tcPr>
          <w:p w:rsidR="00724AC0" w:rsidRPr="00A42B3C" w:rsidRDefault="00724AC0" w:rsidP="00724AC0">
            <w:pPr>
              <w:jc w:val="center"/>
              <w:rPr>
                <w:rFonts w:asciiTheme="majorHAnsi" w:eastAsia="Times New Roman" w:hAnsiTheme="majorHAnsi" w:cstheme="majorHAnsi"/>
                <w:b/>
                <w:color w:val="FFFFFF" w:themeColor="background1"/>
                <w:sz w:val="14"/>
                <w:szCs w:val="16"/>
                <w:lang w:val="en-GB" w:eastAsia="en-GB"/>
              </w:rPr>
            </w:pPr>
            <w:r w:rsidRPr="00A42B3C">
              <w:rPr>
                <w:rFonts w:asciiTheme="majorHAnsi" w:eastAsia="Times New Roman" w:hAnsiTheme="majorHAnsi" w:cstheme="majorHAnsi"/>
                <w:b/>
                <w:color w:val="FFFFFF" w:themeColor="background1"/>
                <w:sz w:val="14"/>
                <w:szCs w:val="16"/>
                <w:lang w:val="en-GB" w:eastAsia="en-GB"/>
              </w:rPr>
              <w:t>Description of the Issue</w:t>
            </w:r>
          </w:p>
        </w:tc>
        <w:tc>
          <w:tcPr>
            <w:tcW w:w="3260" w:type="dxa"/>
            <w:shd w:val="clear" w:color="auto" w:fill="DE821B"/>
            <w:vAlign w:val="center"/>
            <w:hideMark/>
          </w:tcPr>
          <w:p w:rsidR="00724AC0" w:rsidRPr="00A42B3C" w:rsidRDefault="00724AC0" w:rsidP="00724AC0">
            <w:pPr>
              <w:jc w:val="center"/>
              <w:rPr>
                <w:rFonts w:asciiTheme="majorHAnsi" w:eastAsia="Times New Roman" w:hAnsiTheme="majorHAnsi" w:cstheme="majorHAnsi"/>
                <w:b/>
                <w:color w:val="FFFFFF" w:themeColor="background1"/>
                <w:sz w:val="14"/>
                <w:szCs w:val="16"/>
                <w:lang w:val="en-GB" w:eastAsia="en-GB"/>
              </w:rPr>
            </w:pPr>
            <w:r w:rsidRPr="00A42B3C">
              <w:rPr>
                <w:rFonts w:asciiTheme="majorHAnsi" w:eastAsia="Times New Roman" w:hAnsiTheme="majorHAnsi" w:cstheme="majorHAnsi"/>
                <w:b/>
                <w:color w:val="FFFFFF" w:themeColor="background1"/>
                <w:sz w:val="14"/>
                <w:szCs w:val="16"/>
                <w:lang w:val="en-GB" w:eastAsia="en-GB"/>
              </w:rPr>
              <w:t>Justification for potential amendment</w:t>
            </w:r>
          </w:p>
        </w:tc>
        <w:tc>
          <w:tcPr>
            <w:tcW w:w="851" w:type="dxa"/>
            <w:shd w:val="clear" w:color="auto" w:fill="DE821B"/>
            <w:vAlign w:val="center"/>
            <w:hideMark/>
          </w:tcPr>
          <w:p w:rsidR="00724AC0" w:rsidRPr="00A42B3C" w:rsidRDefault="00724AC0" w:rsidP="00724AC0">
            <w:pPr>
              <w:jc w:val="center"/>
              <w:rPr>
                <w:rFonts w:asciiTheme="majorHAnsi" w:eastAsia="Times New Roman" w:hAnsiTheme="majorHAnsi" w:cstheme="majorHAnsi"/>
                <w:b/>
                <w:color w:val="FFFFFF" w:themeColor="background1"/>
                <w:sz w:val="14"/>
                <w:szCs w:val="16"/>
                <w:lang w:val="en-GB" w:eastAsia="en-GB"/>
              </w:rPr>
            </w:pPr>
            <w:r w:rsidRPr="00A42B3C">
              <w:rPr>
                <w:rFonts w:asciiTheme="majorHAnsi" w:eastAsia="Times New Roman" w:hAnsiTheme="majorHAnsi" w:cstheme="majorHAnsi"/>
                <w:b/>
                <w:color w:val="FFFFFF" w:themeColor="background1"/>
                <w:sz w:val="14"/>
                <w:szCs w:val="16"/>
                <w:lang w:val="en-GB" w:eastAsia="en-GB"/>
              </w:rPr>
              <w:t>Level of seriousness</w:t>
            </w:r>
          </w:p>
        </w:tc>
        <w:tc>
          <w:tcPr>
            <w:tcW w:w="2840" w:type="dxa"/>
            <w:shd w:val="clear" w:color="auto" w:fill="DE821B"/>
            <w:vAlign w:val="center"/>
            <w:hideMark/>
          </w:tcPr>
          <w:p w:rsidR="00724AC0" w:rsidRPr="00A42B3C" w:rsidRDefault="00724AC0" w:rsidP="00724AC0">
            <w:pPr>
              <w:jc w:val="center"/>
              <w:rPr>
                <w:rFonts w:asciiTheme="majorHAnsi" w:eastAsia="Times New Roman" w:hAnsiTheme="majorHAnsi" w:cstheme="majorHAnsi"/>
                <w:b/>
                <w:color w:val="FFFFFF" w:themeColor="background1"/>
                <w:sz w:val="14"/>
                <w:szCs w:val="16"/>
                <w:lang w:val="en-GB" w:eastAsia="en-GB"/>
              </w:rPr>
            </w:pPr>
            <w:r w:rsidRPr="00A42B3C">
              <w:rPr>
                <w:rFonts w:asciiTheme="majorHAnsi" w:eastAsia="Times New Roman" w:hAnsiTheme="majorHAnsi" w:cstheme="majorHAnsi"/>
                <w:b/>
                <w:color w:val="FFFFFF" w:themeColor="background1"/>
                <w:sz w:val="14"/>
                <w:szCs w:val="16"/>
                <w:lang w:val="en-GB" w:eastAsia="en-GB"/>
              </w:rPr>
              <w:t>Proposal for a wording update</w:t>
            </w:r>
          </w:p>
        </w:tc>
        <w:tc>
          <w:tcPr>
            <w:tcW w:w="709" w:type="dxa"/>
            <w:shd w:val="clear" w:color="auto" w:fill="DE821B"/>
            <w:vAlign w:val="center"/>
          </w:tcPr>
          <w:p w:rsidR="00724AC0" w:rsidRPr="00A42B3C" w:rsidRDefault="00724AC0" w:rsidP="00724AC0">
            <w:pPr>
              <w:jc w:val="center"/>
              <w:rPr>
                <w:rFonts w:asciiTheme="majorHAnsi" w:eastAsia="Times New Roman" w:hAnsiTheme="majorHAnsi" w:cstheme="majorHAnsi"/>
                <w:b/>
                <w:color w:val="FFFFFF" w:themeColor="background1"/>
                <w:sz w:val="14"/>
                <w:szCs w:val="16"/>
                <w:lang w:val="en-GB" w:eastAsia="en-GB"/>
              </w:rPr>
            </w:pPr>
            <w:r w:rsidRPr="00A42B3C">
              <w:rPr>
                <w:rFonts w:asciiTheme="majorHAnsi" w:eastAsia="Times New Roman" w:hAnsiTheme="majorHAnsi" w:cstheme="majorHAnsi"/>
                <w:b/>
                <w:color w:val="FFFFFF" w:themeColor="background1"/>
                <w:sz w:val="14"/>
                <w:szCs w:val="16"/>
                <w:lang w:val="en-GB" w:eastAsia="en-GB"/>
              </w:rPr>
              <w:t>Scope</w:t>
            </w:r>
          </w:p>
        </w:tc>
      </w:tr>
      <w:tr w:rsidR="00724AC0" w:rsidRPr="00724AC0" w:rsidTr="00724AC0">
        <w:trPr>
          <w:trHeight w:val="475"/>
        </w:trPr>
        <w:tc>
          <w:tcPr>
            <w:tcW w:w="846" w:type="dxa"/>
            <w:vAlign w:val="center"/>
          </w:tcPr>
          <w:p w:rsidR="00724AC0" w:rsidRPr="00A42B3C" w:rsidRDefault="00724AC0" w:rsidP="00724AC0">
            <w:pPr>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1</w:t>
            </w:r>
          </w:p>
        </w:tc>
        <w:tc>
          <w:tcPr>
            <w:tcW w:w="850" w:type="dxa"/>
            <w:shd w:val="clear" w:color="auto" w:fill="auto"/>
            <w:vAlign w:val="center"/>
          </w:tcPr>
          <w:p w:rsidR="00724AC0" w:rsidRPr="00724AC0" w:rsidRDefault="00724AC0" w:rsidP="00724AC0">
            <w:pPr>
              <w:rPr>
                <w:rFonts w:ascii="Calibri" w:hAnsi="Calibri" w:cs="Calibri"/>
                <w:color w:val="000000"/>
                <w:sz w:val="14"/>
                <w:szCs w:val="20"/>
                <w:lang w:val="en-GB"/>
              </w:rPr>
            </w:pPr>
            <w:r w:rsidRPr="00724AC0">
              <w:rPr>
                <w:rFonts w:ascii="Calibri" w:hAnsi="Calibri" w:cs="Calibri"/>
                <w:color w:val="000000"/>
                <w:sz w:val="14"/>
                <w:szCs w:val="20"/>
                <w:lang w:val="en-GB"/>
              </w:rPr>
              <w:t>Liquidity buffer, Art. 16, par 4 and 5</w:t>
            </w:r>
          </w:p>
        </w:tc>
        <w:tc>
          <w:tcPr>
            <w:tcW w:w="2977" w:type="dxa"/>
            <w:shd w:val="clear" w:color="auto" w:fill="auto"/>
            <w:vAlign w:val="center"/>
          </w:tcPr>
          <w:p w:rsidR="00724AC0" w:rsidRPr="00724AC0" w:rsidRDefault="00724AC0" w:rsidP="00724AC0">
            <w:pPr>
              <w:rPr>
                <w:rFonts w:ascii="Calibri" w:hAnsi="Calibri" w:cs="Calibri"/>
                <w:color w:val="000000"/>
                <w:sz w:val="14"/>
                <w:szCs w:val="20"/>
                <w:lang w:val="en-GB"/>
              </w:rPr>
            </w:pPr>
            <w:r w:rsidRPr="00724AC0">
              <w:rPr>
                <w:rFonts w:ascii="Calibri" w:hAnsi="Calibri" w:cs="Calibri"/>
                <w:b/>
                <w:bCs/>
                <w:color w:val="000000"/>
                <w:sz w:val="14"/>
                <w:szCs w:val="20"/>
                <w:lang w:val="en-GB"/>
              </w:rPr>
              <w:t>Art. 16. par 4</w:t>
            </w:r>
            <w:r w:rsidRPr="00724AC0">
              <w:rPr>
                <w:rFonts w:ascii="Calibri" w:hAnsi="Calibri" w:cs="Calibri"/>
                <w:color w:val="000000"/>
                <w:sz w:val="14"/>
                <w:szCs w:val="20"/>
                <w:lang w:val="en-GB"/>
              </w:rPr>
              <w:t xml:space="preserve">. Where the credit institution issuing covered bonds is subject to liquidity requirements set out in other acts of Union law, Member States may decide that the national rules transposing paragraphs 1, 2 and 3 do not apply throughout the period foreseen in those acts of Union law. </w:t>
            </w:r>
            <w:r w:rsidRPr="00724AC0">
              <w:rPr>
                <w:rFonts w:ascii="Calibri" w:hAnsi="Calibri" w:cs="Calibri"/>
                <w:b/>
                <w:bCs/>
                <w:color w:val="000000"/>
                <w:sz w:val="14"/>
                <w:szCs w:val="20"/>
                <w:lang w:val="en-GB"/>
              </w:rPr>
              <w:t>Art. 16, par.5.</w:t>
            </w:r>
            <w:r w:rsidRPr="00724AC0">
              <w:rPr>
                <w:rFonts w:ascii="Calibri" w:hAnsi="Calibri" w:cs="Calibri"/>
                <w:color w:val="000000"/>
                <w:sz w:val="14"/>
                <w:szCs w:val="20"/>
                <w:lang w:val="en-GB"/>
              </w:rPr>
              <w:t>: Member States may allow for the</w:t>
            </w:r>
            <w:r w:rsidRPr="00724AC0">
              <w:rPr>
                <w:rFonts w:ascii="Calibri" w:hAnsi="Calibri" w:cs="Calibri"/>
                <w:color w:val="000000"/>
                <w:sz w:val="14"/>
                <w:szCs w:val="20"/>
                <w:lang w:val="en-GB"/>
              </w:rPr>
              <w:br/>
              <w:t>calculation of the principal for extendable maturity structures to be based on the final maturity date of the covered bond.</w:t>
            </w:r>
          </w:p>
        </w:tc>
        <w:tc>
          <w:tcPr>
            <w:tcW w:w="3402" w:type="dxa"/>
            <w:shd w:val="clear" w:color="auto" w:fill="auto"/>
            <w:vAlign w:val="center"/>
          </w:tcPr>
          <w:p w:rsidR="00724AC0" w:rsidRPr="00724AC0" w:rsidRDefault="00724AC0" w:rsidP="00724AC0">
            <w:pPr>
              <w:rPr>
                <w:rFonts w:ascii="Calibri" w:hAnsi="Calibri" w:cs="Calibri"/>
                <w:color w:val="000000"/>
                <w:sz w:val="14"/>
                <w:szCs w:val="20"/>
                <w:lang w:val="en-GB"/>
              </w:rPr>
            </w:pPr>
            <w:r w:rsidRPr="00724AC0">
              <w:rPr>
                <w:rFonts w:ascii="Calibri" w:hAnsi="Calibri" w:cs="Calibri"/>
                <w:color w:val="000000"/>
                <w:sz w:val="14"/>
                <w:szCs w:val="20"/>
                <w:lang w:val="en-GB"/>
              </w:rPr>
              <w:t xml:space="preserve">Overall, we found the 180 day buffer requirements excessive, considering elements already in place in other regulation. Firstly, issuers are already subject to strict LCR liquidity buffer requirements, which are calibrated for stressed conditions. Secondly, in the CRR2 proposal for net stable funding ratio (NSFR), covered bonds with remaining maturity of less than 6 months will not constitute any available stable funding. Banks need to cover the shortfall with other forms of stable funding. </w:t>
            </w:r>
          </w:p>
        </w:tc>
        <w:tc>
          <w:tcPr>
            <w:tcW w:w="3260" w:type="dxa"/>
            <w:shd w:val="clear" w:color="auto" w:fill="auto"/>
            <w:vAlign w:val="center"/>
          </w:tcPr>
          <w:p w:rsidR="00724AC0" w:rsidRPr="00A42B3C" w:rsidRDefault="00724AC0" w:rsidP="00724AC0">
            <w:pPr>
              <w:jc w:val="both"/>
              <w:rPr>
                <w:rFonts w:asciiTheme="majorHAnsi" w:hAnsiTheme="majorHAnsi" w:cstheme="majorHAnsi"/>
                <w:color w:val="000000"/>
                <w:sz w:val="14"/>
                <w:szCs w:val="16"/>
                <w:lang w:val="en-GB"/>
              </w:rPr>
            </w:pPr>
            <w:r w:rsidRPr="00724AC0">
              <w:rPr>
                <w:rFonts w:asciiTheme="majorHAnsi" w:hAnsiTheme="majorHAnsi" w:cstheme="majorHAnsi"/>
                <w:color w:val="000000"/>
                <w:sz w:val="14"/>
                <w:szCs w:val="16"/>
                <w:lang w:val="en-GB"/>
              </w:rPr>
              <w:t xml:space="preserve">We do </w:t>
            </w:r>
            <w:r>
              <w:rPr>
                <w:rFonts w:asciiTheme="majorHAnsi" w:hAnsiTheme="majorHAnsi" w:cstheme="majorHAnsi"/>
                <w:color w:val="000000"/>
                <w:sz w:val="14"/>
                <w:szCs w:val="16"/>
                <w:lang w:val="en-GB"/>
              </w:rPr>
              <w:t>not have a separate liquidity req</w:t>
            </w:r>
            <w:r w:rsidRPr="00724AC0">
              <w:rPr>
                <w:rFonts w:asciiTheme="majorHAnsi" w:hAnsiTheme="majorHAnsi" w:cstheme="majorHAnsi"/>
                <w:color w:val="000000"/>
                <w:sz w:val="14"/>
                <w:szCs w:val="16"/>
                <w:lang w:val="en-GB"/>
              </w:rPr>
              <w:t>uirement for cover pool at the moment in our national legislation but we have other tools to handle liquidity risk.  EU harmonisation efforts should not disturb well-functioning markets. Extra requirements would increase funding costs substantially. There are much more efficient ways to handle liquidity risks, for example maturity extensions. We have small issuers in our market and cost efficiency is critical for us. Lucke´s wording for Art. 16 par 5. is problematic and Commission text should be kept as it is.</w:t>
            </w:r>
          </w:p>
        </w:tc>
        <w:tc>
          <w:tcPr>
            <w:tcW w:w="851" w:type="dxa"/>
            <w:shd w:val="clear" w:color="auto" w:fill="auto"/>
            <w:vAlign w:val="center"/>
          </w:tcPr>
          <w:p w:rsidR="00724AC0" w:rsidRPr="00A42B3C" w:rsidRDefault="00724AC0" w:rsidP="00724AC0">
            <w:pPr>
              <w:jc w:val="both"/>
              <w:rPr>
                <w:rFonts w:asciiTheme="majorHAnsi" w:eastAsia="Times New Roman" w:hAnsiTheme="majorHAnsi" w:cstheme="majorHAnsi"/>
                <w:color w:val="000000"/>
                <w:sz w:val="14"/>
                <w:szCs w:val="16"/>
                <w:lang w:val="en-GB" w:eastAsia="en-GB"/>
              </w:rPr>
            </w:pPr>
            <w:r>
              <w:rPr>
                <w:rFonts w:asciiTheme="majorHAnsi" w:eastAsia="Times New Roman" w:hAnsiTheme="majorHAnsi" w:cstheme="majorHAnsi"/>
                <w:color w:val="000000"/>
                <w:sz w:val="14"/>
                <w:szCs w:val="16"/>
                <w:lang w:val="en-GB" w:eastAsia="en-GB"/>
              </w:rPr>
              <w:t>high</w:t>
            </w:r>
          </w:p>
        </w:tc>
        <w:tc>
          <w:tcPr>
            <w:tcW w:w="2840" w:type="dxa"/>
            <w:shd w:val="clear" w:color="auto" w:fill="auto"/>
            <w:vAlign w:val="center"/>
          </w:tcPr>
          <w:p w:rsidR="00724AC0" w:rsidRPr="00724AC0" w:rsidRDefault="00724AC0" w:rsidP="00724AC0">
            <w:pPr>
              <w:jc w:val="both"/>
              <w:rPr>
                <w:rFonts w:ascii="Calibri" w:hAnsi="Calibri" w:cs="Calibri"/>
                <w:color w:val="000000"/>
                <w:sz w:val="14"/>
                <w:szCs w:val="20"/>
                <w:lang w:val="en-GB"/>
              </w:rPr>
            </w:pPr>
            <w:r w:rsidRPr="00724AC0">
              <w:rPr>
                <w:rFonts w:ascii="Calibri" w:hAnsi="Calibri" w:cs="Calibri"/>
                <w:color w:val="000000"/>
                <w:sz w:val="14"/>
                <w:szCs w:val="20"/>
                <w:lang w:val="en-GB"/>
              </w:rPr>
              <w:t xml:space="preserve">As a first choice, we propose to delete article 16 as a whole. As an alternative, we propose to keep Commission wording for </w:t>
            </w:r>
            <w:r w:rsidRPr="00724AC0">
              <w:rPr>
                <w:rFonts w:ascii="Calibri" w:hAnsi="Calibri" w:cs="Calibri"/>
                <w:b/>
                <w:bCs/>
                <w:color w:val="000000"/>
                <w:sz w:val="14"/>
                <w:szCs w:val="20"/>
                <w:lang w:val="en-GB"/>
              </w:rPr>
              <w:t xml:space="preserve">Art 16 (4) </w:t>
            </w:r>
            <w:r w:rsidRPr="00724AC0">
              <w:rPr>
                <w:rFonts w:ascii="Calibri" w:hAnsi="Calibri" w:cs="Calibri"/>
                <w:color w:val="000000"/>
                <w:sz w:val="14"/>
                <w:szCs w:val="20"/>
                <w:lang w:val="en-GB"/>
              </w:rPr>
              <w:t xml:space="preserve"> and </w:t>
            </w:r>
            <w:r w:rsidRPr="00724AC0">
              <w:rPr>
                <w:rFonts w:ascii="Calibri" w:hAnsi="Calibri" w:cs="Calibri"/>
                <w:b/>
                <w:bCs/>
                <w:color w:val="000000"/>
                <w:sz w:val="14"/>
                <w:szCs w:val="20"/>
                <w:lang w:val="en-GB"/>
              </w:rPr>
              <w:t>not to delete it</w:t>
            </w:r>
            <w:r w:rsidRPr="00724AC0">
              <w:rPr>
                <w:rFonts w:ascii="Calibri" w:hAnsi="Calibri" w:cs="Calibri"/>
                <w:color w:val="000000"/>
                <w:sz w:val="14"/>
                <w:szCs w:val="20"/>
                <w:lang w:val="en-GB"/>
              </w:rPr>
              <w:t xml:space="preserve"> as Lucke proposes. Member States should be allowed to decide that the 180 day liquidity buffer do not apply if the is</w:t>
            </w:r>
            <w:r>
              <w:rPr>
                <w:rFonts w:ascii="Calibri" w:hAnsi="Calibri" w:cs="Calibri"/>
                <w:color w:val="000000"/>
                <w:sz w:val="14"/>
                <w:szCs w:val="20"/>
                <w:lang w:val="en-GB"/>
              </w:rPr>
              <w:t>suer is subject to other liq. req</w:t>
            </w:r>
            <w:r w:rsidRPr="00724AC0">
              <w:rPr>
                <w:rFonts w:ascii="Calibri" w:hAnsi="Calibri" w:cs="Calibri"/>
                <w:color w:val="000000"/>
                <w:sz w:val="14"/>
                <w:szCs w:val="20"/>
                <w:lang w:val="en-GB"/>
              </w:rPr>
              <w:t xml:space="preserve">uirements in other acts of Union or national laws.  For </w:t>
            </w:r>
            <w:r w:rsidRPr="00724AC0">
              <w:rPr>
                <w:rFonts w:ascii="Calibri" w:hAnsi="Calibri" w:cs="Calibri"/>
                <w:b/>
                <w:bCs/>
                <w:color w:val="000000"/>
                <w:sz w:val="14"/>
                <w:szCs w:val="20"/>
                <w:lang w:val="en-GB"/>
              </w:rPr>
              <w:t>Art 16 (5)</w:t>
            </w:r>
            <w:r w:rsidRPr="00724AC0">
              <w:rPr>
                <w:rFonts w:ascii="Calibri" w:hAnsi="Calibri" w:cs="Calibri"/>
                <w:color w:val="000000"/>
                <w:sz w:val="14"/>
                <w:szCs w:val="20"/>
                <w:lang w:val="en-GB"/>
              </w:rPr>
              <w:t xml:space="preserve"> we propose to keep Commission text as it is. </w:t>
            </w:r>
          </w:p>
          <w:p w:rsidR="00724AC0" w:rsidRPr="00A42B3C" w:rsidRDefault="00724AC0" w:rsidP="00724AC0">
            <w:pPr>
              <w:jc w:val="both"/>
              <w:rPr>
                <w:rFonts w:asciiTheme="majorHAnsi" w:hAnsiTheme="majorHAnsi" w:cstheme="majorHAnsi"/>
                <w:color w:val="000000"/>
                <w:sz w:val="14"/>
                <w:szCs w:val="16"/>
                <w:lang w:val="en-GB"/>
              </w:rPr>
            </w:pPr>
          </w:p>
        </w:tc>
        <w:tc>
          <w:tcPr>
            <w:tcW w:w="709" w:type="dxa"/>
            <w:vAlign w:val="center"/>
          </w:tcPr>
          <w:p w:rsidR="00724AC0" w:rsidRPr="00A42B3C" w:rsidRDefault="00724AC0" w:rsidP="00724AC0">
            <w:pPr>
              <w:jc w:val="both"/>
              <w:rPr>
                <w:rFonts w:asciiTheme="majorHAnsi" w:hAnsiTheme="majorHAnsi" w:cstheme="majorHAnsi"/>
                <w:sz w:val="14"/>
                <w:szCs w:val="16"/>
                <w:lang w:val="en-GB"/>
              </w:rPr>
            </w:pPr>
            <w:r>
              <w:rPr>
                <w:rFonts w:asciiTheme="majorHAnsi" w:hAnsiTheme="majorHAnsi" w:cstheme="majorHAnsi"/>
                <w:sz w:val="14"/>
                <w:szCs w:val="16"/>
                <w:lang w:val="en-GB"/>
              </w:rPr>
              <w:t>EU</w:t>
            </w:r>
          </w:p>
        </w:tc>
      </w:tr>
      <w:tr w:rsidR="00724AC0" w:rsidRPr="00724AC0" w:rsidTr="00724AC0">
        <w:trPr>
          <w:trHeight w:val="475"/>
        </w:trPr>
        <w:tc>
          <w:tcPr>
            <w:tcW w:w="846" w:type="dxa"/>
            <w:vAlign w:val="center"/>
          </w:tcPr>
          <w:p w:rsidR="00724AC0" w:rsidRPr="00A42B3C" w:rsidRDefault="00724AC0" w:rsidP="00724AC0">
            <w:pPr>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2</w:t>
            </w:r>
          </w:p>
        </w:tc>
        <w:tc>
          <w:tcPr>
            <w:tcW w:w="850" w:type="dxa"/>
            <w:shd w:val="clear" w:color="auto" w:fill="auto"/>
            <w:vAlign w:val="center"/>
          </w:tcPr>
          <w:p w:rsidR="00724AC0" w:rsidRPr="00724AC0" w:rsidRDefault="00724AC0" w:rsidP="00724AC0">
            <w:pPr>
              <w:rPr>
                <w:rFonts w:ascii="Calibri" w:hAnsi="Calibri" w:cs="Calibri"/>
                <w:color w:val="000000"/>
                <w:sz w:val="14"/>
                <w:szCs w:val="20"/>
              </w:rPr>
            </w:pPr>
            <w:r w:rsidRPr="00724AC0">
              <w:rPr>
                <w:rFonts w:ascii="Calibri" w:hAnsi="Calibri" w:cs="Calibri"/>
                <w:color w:val="000000"/>
                <w:sz w:val="14"/>
                <w:szCs w:val="20"/>
              </w:rPr>
              <w:t>Maturity extensions, Art.17 par. 1(b)</w:t>
            </w:r>
          </w:p>
        </w:tc>
        <w:tc>
          <w:tcPr>
            <w:tcW w:w="2977" w:type="dxa"/>
            <w:shd w:val="clear" w:color="auto" w:fill="auto"/>
            <w:vAlign w:val="center"/>
          </w:tcPr>
          <w:p w:rsidR="00724AC0" w:rsidRPr="00724AC0" w:rsidRDefault="00724AC0" w:rsidP="00724AC0">
            <w:pPr>
              <w:rPr>
                <w:rFonts w:ascii="Calibri" w:hAnsi="Calibri" w:cs="Calibri"/>
                <w:color w:val="000000"/>
                <w:sz w:val="14"/>
                <w:szCs w:val="20"/>
                <w:lang w:val="en-GB"/>
              </w:rPr>
            </w:pPr>
            <w:r w:rsidRPr="00724AC0">
              <w:rPr>
                <w:rFonts w:ascii="Calibri" w:hAnsi="Calibri" w:cs="Calibri"/>
                <w:b/>
                <w:bCs/>
                <w:color w:val="000000"/>
                <w:sz w:val="14"/>
                <w:szCs w:val="20"/>
                <w:lang w:val="en-GB"/>
              </w:rPr>
              <w:t>Art 17, par. 1(b)</w:t>
            </w:r>
            <w:r w:rsidRPr="00724AC0">
              <w:rPr>
                <w:rFonts w:ascii="Calibri" w:hAnsi="Calibri" w:cs="Calibri"/>
                <w:color w:val="000000"/>
                <w:sz w:val="14"/>
                <w:szCs w:val="20"/>
                <w:lang w:val="en-GB"/>
              </w:rPr>
              <w:t xml:space="preserve"> the maturity extension is not</w:t>
            </w:r>
            <w:r w:rsidRPr="00724AC0">
              <w:rPr>
                <w:rFonts w:ascii="Calibri" w:hAnsi="Calibri" w:cs="Calibri"/>
                <w:color w:val="000000"/>
                <w:sz w:val="14"/>
                <w:szCs w:val="20"/>
                <w:lang w:val="en-GB"/>
              </w:rPr>
              <w:br/>
              <w:t>triggered at the discretion of the credit</w:t>
            </w:r>
            <w:r w:rsidRPr="00724AC0">
              <w:rPr>
                <w:rFonts w:ascii="Calibri" w:hAnsi="Calibri" w:cs="Calibri"/>
                <w:color w:val="000000"/>
                <w:sz w:val="14"/>
                <w:szCs w:val="20"/>
                <w:lang w:val="en-GB"/>
              </w:rPr>
              <w:br/>
              <w:t>institution issuing covered bonds;</w:t>
            </w:r>
          </w:p>
        </w:tc>
        <w:tc>
          <w:tcPr>
            <w:tcW w:w="3402" w:type="dxa"/>
            <w:shd w:val="clear" w:color="auto" w:fill="auto"/>
            <w:vAlign w:val="center"/>
          </w:tcPr>
          <w:p w:rsidR="00724AC0" w:rsidRPr="00724AC0" w:rsidRDefault="00724AC0" w:rsidP="00724AC0">
            <w:pPr>
              <w:rPr>
                <w:rFonts w:ascii="Calibri" w:hAnsi="Calibri" w:cs="Calibri"/>
                <w:color w:val="000000"/>
                <w:sz w:val="14"/>
                <w:szCs w:val="20"/>
              </w:rPr>
            </w:pPr>
            <w:r w:rsidRPr="00724AC0">
              <w:rPr>
                <w:rFonts w:ascii="Calibri" w:hAnsi="Calibri" w:cs="Calibri"/>
                <w:color w:val="000000"/>
                <w:sz w:val="14"/>
                <w:szCs w:val="20"/>
                <w:lang w:val="en-GB"/>
              </w:rPr>
              <w:t xml:space="preserve">Maturity extension is an important tool for issuers to manage liquidity and re-funding risks and the use of these structures should not be penalised. The idea of the maturity extension is </w:t>
            </w:r>
            <w:r w:rsidRPr="00724AC0">
              <w:rPr>
                <w:rFonts w:ascii="Calibri" w:hAnsi="Calibri" w:cs="Calibri"/>
                <w:i/>
                <w:iCs/>
                <w:color w:val="000000"/>
                <w:sz w:val="14"/>
                <w:szCs w:val="20"/>
                <w:lang w:val="en-GB"/>
              </w:rPr>
              <w:t xml:space="preserve">to avoid </w:t>
            </w:r>
            <w:r w:rsidRPr="00724AC0">
              <w:rPr>
                <w:rFonts w:ascii="Calibri" w:hAnsi="Calibri" w:cs="Calibri"/>
                <w:color w:val="000000"/>
                <w:sz w:val="14"/>
                <w:szCs w:val="20"/>
                <w:lang w:val="en-GB"/>
              </w:rPr>
              <w:t xml:space="preserve">resolution/insolvency of the issuer. It is particularly useful when the bank is in trouble but </w:t>
            </w:r>
            <w:r w:rsidRPr="00724AC0">
              <w:rPr>
                <w:rFonts w:ascii="Calibri" w:hAnsi="Calibri" w:cs="Calibri"/>
                <w:i/>
                <w:iCs/>
                <w:color w:val="000000"/>
                <w:sz w:val="14"/>
                <w:szCs w:val="20"/>
                <w:lang w:val="en-GB"/>
              </w:rPr>
              <w:t>not yet defaulted</w:t>
            </w:r>
            <w:r w:rsidRPr="00724AC0">
              <w:rPr>
                <w:rFonts w:ascii="Calibri" w:hAnsi="Calibri" w:cs="Calibri"/>
                <w:color w:val="000000"/>
                <w:sz w:val="14"/>
                <w:szCs w:val="20"/>
                <w:lang w:val="en-GB"/>
              </w:rPr>
              <w:t xml:space="preserve">. </w:t>
            </w:r>
            <w:r w:rsidRPr="00724AC0">
              <w:rPr>
                <w:rFonts w:ascii="Calibri" w:hAnsi="Calibri" w:cs="Calibri"/>
                <w:color w:val="000000"/>
                <w:sz w:val="14"/>
                <w:szCs w:val="20"/>
              </w:rPr>
              <w:t xml:space="preserve">The investors have full transparency of these structures. </w:t>
            </w:r>
          </w:p>
        </w:tc>
        <w:tc>
          <w:tcPr>
            <w:tcW w:w="3260" w:type="dxa"/>
            <w:shd w:val="clear" w:color="auto" w:fill="auto"/>
            <w:vAlign w:val="center"/>
          </w:tcPr>
          <w:p w:rsidR="00724AC0" w:rsidRPr="00724AC0" w:rsidRDefault="00724AC0" w:rsidP="00724AC0">
            <w:pPr>
              <w:rPr>
                <w:rFonts w:ascii="Calibri" w:hAnsi="Calibri" w:cs="Calibri"/>
                <w:color w:val="000000"/>
                <w:sz w:val="14"/>
                <w:szCs w:val="20"/>
                <w:lang w:val="en-GB"/>
              </w:rPr>
            </w:pPr>
            <w:r w:rsidRPr="00724AC0">
              <w:rPr>
                <w:rFonts w:ascii="Calibri" w:hAnsi="Calibri" w:cs="Calibri"/>
                <w:color w:val="000000"/>
                <w:sz w:val="14"/>
                <w:szCs w:val="20"/>
                <w:lang w:val="en-GB"/>
              </w:rPr>
              <w:t xml:space="preserve">Maturity extension triggers are specified in contracts as stated in Art 17 par 1 (a), which preserves investor protection. We fear that the advantages of soft bullet structures will diminish if Art 17 1 (b) will stay in the final text as it is. </w:t>
            </w:r>
          </w:p>
          <w:p w:rsidR="00724AC0" w:rsidRPr="00724AC0" w:rsidRDefault="00724AC0" w:rsidP="00724AC0">
            <w:pPr>
              <w:rPr>
                <w:rFonts w:ascii="Calibri" w:hAnsi="Calibri" w:cs="Calibri"/>
                <w:color w:val="000000"/>
                <w:sz w:val="14"/>
                <w:szCs w:val="20"/>
                <w:lang w:val="en-GB"/>
              </w:rPr>
            </w:pPr>
          </w:p>
        </w:tc>
        <w:tc>
          <w:tcPr>
            <w:tcW w:w="851" w:type="dxa"/>
            <w:shd w:val="clear" w:color="auto" w:fill="auto"/>
            <w:vAlign w:val="center"/>
          </w:tcPr>
          <w:p w:rsidR="00724AC0" w:rsidRPr="00A42B3C" w:rsidRDefault="00724AC0" w:rsidP="00724AC0">
            <w:pPr>
              <w:jc w:val="both"/>
              <w:rPr>
                <w:rFonts w:asciiTheme="majorHAnsi" w:eastAsia="Times New Roman" w:hAnsiTheme="majorHAnsi" w:cstheme="majorHAnsi"/>
                <w:color w:val="000000"/>
                <w:sz w:val="14"/>
                <w:szCs w:val="16"/>
                <w:lang w:val="en-GB" w:eastAsia="en-GB"/>
              </w:rPr>
            </w:pPr>
            <w:r>
              <w:rPr>
                <w:rFonts w:asciiTheme="majorHAnsi" w:eastAsia="Times New Roman" w:hAnsiTheme="majorHAnsi" w:cstheme="majorHAnsi"/>
                <w:color w:val="000000"/>
                <w:sz w:val="14"/>
                <w:szCs w:val="16"/>
                <w:lang w:val="en-GB" w:eastAsia="en-GB"/>
              </w:rPr>
              <w:t>high</w:t>
            </w:r>
          </w:p>
        </w:tc>
        <w:tc>
          <w:tcPr>
            <w:tcW w:w="2840" w:type="dxa"/>
            <w:shd w:val="clear" w:color="auto" w:fill="auto"/>
            <w:vAlign w:val="center"/>
          </w:tcPr>
          <w:p w:rsidR="00724AC0" w:rsidRPr="00724AC0" w:rsidRDefault="00724AC0" w:rsidP="00724AC0">
            <w:pPr>
              <w:jc w:val="both"/>
              <w:rPr>
                <w:rFonts w:ascii="Calibri" w:hAnsi="Calibri" w:cs="Calibri"/>
                <w:color w:val="000000"/>
                <w:sz w:val="14"/>
                <w:szCs w:val="20"/>
                <w:lang w:val="en-GB"/>
              </w:rPr>
            </w:pPr>
            <w:r w:rsidRPr="00724AC0">
              <w:rPr>
                <w:rFonts w:ascii="Calibri" w:hAnsi="Calibri" w:cs="Calibri"/>
                <w:color w:val="000000"/>
                <w:sz w:val="14"/>
                <w:szCs w:val="20"/>
                <w:lang w:val="en-GB"/>
              </w:rPr>
              <w:t xml:space="preserve">We propose to delete Art. 17 par 1 (b) </w:t>
            </w:r>
            <w:r w:rsidRPr="00724AC0">
              <w:rPr>
                <w:rFonts w:ascii="Calibri" w:hAnsi="Calibri" w:cs="Calibri"/>
                <w:strike/>
                <w:color w:val="000000"/>
                <w:sz w:val="14"/>
                <w:szCs w:val="20"/>
                <w:lang w:val="en-GB"/>
              </w:rPr>
              <w:t>Art 17, par. 1(b) the maturity extension is not triggered at the discretion of the credit institution issuing covered bonds;</w:t>
            </w:r>
          </w:p>
          <w:p w:rsidR="00724AC0" w:rsidRPr="00724AC0" w:rsidRDefault="00724AC0" w:rsidP="00724AC0">
            <w:pPr>
              <w:jc w:val="both"/>
              <w:rPr>
                <w:rFonts w:asciiTheme="majorHAnsi" w:hAnsiTheme="majorHAnsi" w:cstheme="majorHAnsi"/>
                <w:color w:val="000000"/>
                <w:sz w:val="14"/>
                <w:szCs w:val="16"/>
                <w:lang w:val="en-GB"/>
              </w:rPr>
            </w:pPr>
          </w:p>
        </w:tc>
        <w:tc>
          <w:tcPr>
            <w:tcW w:w="709" w:type="dxa"/>
            <w:vAlign w:val="center"/>
          </w:tcPr>
          <w:p w:rsidR="00724AC0" w:rsidRPr="00A42B3C" w:rsidRDefault="00724AC0" w:rsidP="00724AC0">
            <w:pPr>
              <w:jc w:val="both"/>
              <w:rPr>
                <w:rFonts w:asciiTheme="majorHAnsi" w:hAnsiTheme="majorHAnsi" w:cstheme="majorHAnsi"/>
                <w:sz w:val="14"/>
                <w:szCs w:val="16"/>
                <w:lang w:val="en-GB"/>
              </w:rPr>
            </w:pPr>
            <w:r>
              <w:rPr>
                <w:rFonts w:asciiTheme="majorHAnsi" w:hAnsiTheme="majorHAnsi" w:cstheme="majorHAnsi"/>
                <w:sz w:val="14"/>
                <w:szCs w:val="16"/>
                <w:lang w:val="en-GB"/>
              </w:rPr>
              <w:t>EU</w:t>
            </w:r>
          </w:p>
        </w:tc>
      </w:tr>
      <w:tr w:rsidR="00724AC0" w:rsidRPr="00724AC0" w:rsidTr="00724AC0">
        <w:trPr>
          <w:trHeight w:val="475"/>
        </w:trPr>
        <w:tc>
          <w:tcPr>
            <w:tcW w:w="846" w:type="dxa"/>
            <w:vAlign w:val="center"/>
          </w:tcPr>
          <w:p w:rsidR="00724AC0" w:rsidRPr="00A42B3C" w:rsidRDefault="00724AC0" w:rsidP="00724AC0">
            <w:pPr>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3</w:t>
            </w:r>
          </w:p>
        </w:tc>
        <w:tc>
          <w:tcPr>
            <w:tcW w:w="850" w:type="dxa"/>
            <w:shd w:val="clear" w:color="auto" w:fill="auto"/>
            <w:vAlign w:val="center"/>
          </w:tcPr>
          <w:p w:rsidR="00724AC0" w:rsidRPr="00724AC0" w:rsidRDefault="00724AC0" w:rsidP="00724AC0">
            <w:pPr>
              <w:rPr>
                <w:rFonts w:ascii="Calibri" w:hAnsi="Calibri" w:cs="Calibri"/>
                <w:color w:val="000000"/>
                <w:sz w:val="14"/>
                <w:szCs w:val="20"/>
              </w:rPr>
            </w:pPr>
            <w:r w:rsidRPr="00724AC0">
              <w:rPr>
                <w:rFonts w:ascii="Calibri" w:hAnsi="Calibri" w:cs="Calibri"/>
                <w:color w:val="000000"/>
                <w:sz w:val="14"/>
                <w:szCs w:val="20"/>
              </w:rPr>
              <w:t>Derivatives, Art. 11, par.2(b)</w:t>
            </w:r>
          </w:p>
        </w:tc>
        <w:tc>
          <w:tcPr>
            <w:tcW w:w="2977" w:type="dxa"/>
            <w:shd w:val="clear" w:color="auto" w:fill="auto"/>
            <w:vAlign w:val="center"/>
          </w:tcPr>
          <w:p w:rsidR="00724AC0" w:rsidRPr="00724AC0" w:rsidRDefault="00724AC0" w:rsidP="00724AC0">
            <w:pPr>
              <w:rPr>
                <w:rFonts w:ascii="Calibri" w:hAnsi="Calibri" w:cs="Calibri"/>
                <w:color w:val="000000"/>
                <w:sz w:val="14"/>
                <w:szCs w:val="20"/>
                <w:lang w:val="en-GB"/>
              </w:rPr>
            </w:pPr>
            <w:r w:rsidRPr="00724AC0">
              <w:rPr>
                <w:rFonts w:ascii="Calibri" w:hAnsi="Calibri" w:cs="Calibri"/>
                <w:color w:val="000000"/>
                <w:sz w:val="14"/>
                <w:szCs w:val="20"/>
                <w:lang w:val="en-GB"/>
              </w:rPr>
              <w:t>For the purposes of ensuring compliance with the requirements listed in paragraph 1, Member States shall lay down rules for cover pool derivative contracts including at least:</w:t>
            </w:r>
            <w:r w:rsidRPr="00724AC0">
              <w:rPr>
                <w:rFonts w:ascii="Calibri" w:hAnsi="Calibri" w:cs="Calibri"/>
                <w:color w:val="000000"/>
                <w:sz w:val="14"/>
                <w:szCs w:val="20"/>
                <w:lang w:val="en-GB"/>
              </w:rPr>
              <w:br/>
              <w:t>(a) the eligibility criteria for the hedging counterparties;</w:t>
            </w:r>
            <w:r w:rsidRPr="00724AC0">
              <w:rPr>
                <w:rFonts w:ascii="Calibri" w:hAnsi="Calibri" w:cs="Calibri"/>
                <w:color w:val="000000"/>
                <w:sz w:val="14"/>
                <w:szCs w:val="20"/>
                <w:lang w:val="en-GB"/>
              </w:rPr>
              <w:br/>
              <w:t>(b) the limits on the amount of derivative contracts in the cover pool;</w:t>
            </w:r>
            <w:r w:rsidRPr="00724AC0">
              <w:rPr>
                <w:rFonts w:ascii="Calibri" w:hAnsi="Calibri" w:cs="Calibri"/>
                <w:color w:val="000000"/>
                <w:sz w:val="14"/>
                <w:szCs w:val="20"/>
                <w:lang w:val="en-GB"/>
              </w:rPr>
              <w:br/>
              <w:t>(c) the necessary documentation to be provided in relation to derivative contracts.</w:t>
            </w:r>
          </w:p>
        </w:tc>
        <w:tc>
          <w:tcPr>
            <w:tcW w:w="3402" w:type="dxa"/>
            <w:shd w:val="clear" w:color="auto" w:fill="auto"/>
            <w:vAlign w:val="center"/>
          </w:tcPr>
          <w:p w:rsidR="00724AC0" w:rsidRPr="00724AC0" w:rsidRDefault="00724AC0" w:rsidP="00724AC0">
            <w:pPr>
              <w:rPr>
                <w:rFonts w:ascii="Calibri" w:hAnsi="Calibri" w:cs="Calibri"/>
                <w:color w:val="000000"/>
                <w:sz w:val="14"/>
                <w:szCs w:val="20"/>
                <w:lang w:val="en-GB"/>
              </w:rPr>
            </w:pPr>
            <w:r w:rsidRPr="00724AC0">
              <w:rPr>
                <w:rFonts w:ascii="Calibri" w:hAnsi="Calibri" w:cs="Calibri"/>
                <w:color w:val="000000"/>
                <w:sz w:val="14"/>
                <w:szCs w:val="20"/>
                <w:lang w:val="en-GB"/>
              </w:rPr>
              <w:t xml:space="preserve">In article 11 (2)(b), the directive introduces a limit on </w:t>
            </w:r>
            <w:r w:rsidRPr="00724AC0">
              <w:rPr>
                <w:rFonts w:ascii="Calibri" w:hAnsi="Calibri" w:cs="Calibri"/>
                <w:i/>
                <w:iCs/>
                <w:color w:val="000000"/>
                <w:sz w:val="14"/>
                <w:szCs w:val="20"/>
                <w:lang w:val="en-GB"/>
              </w:rPr>
              <w:t>the amount</w:t>
            </w:r>
            <w:r w:rsidRPr="00724AC0">
              <w:rPr>
                <w:rFonts w:ascii="Calibri" w:hAnsi="Calibri" w:cs="Calibri"/>
                <w:color w:val="000000"/>
                <w:sz w:val="14"/>
                <w:szCs w:val="20"/>
                <w:lang w:val="en-GB"/>
              </w:rPr>
              <w:t xml:space="preserve"> of derivative contracts in the cover pool. Our view is that a limit on the </w:t>
            </w:r>
            <w:r w:rsidRPr="00724AC0">
              <w:rPr>
                <w:rFonts w:ascii="Calibri" w:hAnsi="Calibri" w:cs="Calibri"/>
                <w:i/>
                <w:iCs/>
                <w:color w:val="000000"/>
                <w:sz w:val="14"/>
                <w:szCs w:val="20"/>
                <w:lang w:val="en-GB"/>
              </w:rPr>
              <w:t>amount</w:t>
            </w:r>
            <w:r w:rsidRPr="00724AC0">
              <w:rPr>
                <w:rFonts w:ascii="Calibri" w:hAnsi="Calibri" w:cs="Calibri"/>
                <w:color w:val="000000"/>
                <w:sz w:val="14"/>
                <w:szCs w:val="20"/>
                <w:lang w:val="en-GB"/>
              </w:rPr>
              <w:t xml:space="preserve"> of derivatives will contradict the benefit of using derivatives for hedging purposes.</w:t>
            </w:r>
          </w:p>
        </w:tc>
        <w:tc>
          <w:tcPr>
            <w:tcW w:w="3260" w:type="dxa"/>
            <w:shd w:val="clear" w:color="auto" w:fill="auto"/>
            <w:vAlign w:val="center"/>
          </w:tcPr>
          <w:p w:rsidR="00724AC0" w:rsidRPr="00724AC0" w:rsidRDefault="00724AC0" w:rsidP="00724AC0">
            <w:pPr>
              <w:jc w:val="both"/>
              <w:rPr>
                <w:rFonts w:ascii="Calibri" w:hAnsi="Calibri" w:cs="Calibri"/>
                <w:color w:val="000000"/>
                <w:sz w:val="14"/>
                <w:szCs w:val="20"/>
                <w:lang w:val="en-GB"/>
              </w:rPr>
            </w:pPr>
            <w:r w:rsidRPr="00724AC0">
              <w:rPr>
                <w:rFonts w:ascii="Calibri" w:hAnsi="Calibri" w:cs="Calibri"/>
                <w:color w:val="000000"/>
                <w:sz w:val="14"/>
                <w:szCs w:val="20"/>
                <w:lang w:val="en-GB"/>
              </w:rPr>
              <w:t xml:space="preserve">Derivatives should only be allowed for hedging purposes, but there should be no EUR limit for that purpose. </w:t>
            </w:r>
          </w:p>
          <w:p w:rsidR="00724AC0" w:rsidRPr="00A42B3C" w:rsidRDefault="00724AC0" w:rsidP="00724AC0">
            <w:pPr>
              <w:jc w:val="both"/>
              <w:rPr>
                <w:rFonts w:asciiTheme="majorHAnsi" w:hAnsiTheme="majorHAnsi" w:cstheme="majorHAnsi"/>
                <w:color w:val="000000"/>
                <w:sz w:val="14"/>
                <w:szCs w:val="16"/>
                <w:lang w:val="en-GB"/>
              </w:rPr>
            </w:pPr>
          </w:p>
        </w:tc>
        <w:tc>
          <w:tcPr>
            <w:tcW w:w="851" w:type="dxa"/>
            <w:shd w:val="clear" w:color="auto" w:fill="auto"/>
            <w:vAlign w:val="center"/>
          </w:tcPr>
          <w:p w:rsidR="00724AC0" w:rsidRPr="00A42B3C" w:rsidRDefault="00724AC0" w:rsidP="00724AC0">
            <w:pPr>
              <w:jc w:val="both"/>
              <w:rPr>
                <w:rFonts w:asciiTheme="majorHAnsi" w:eastAsia="Times New Roman" w:hAnsiTheme="majorHAnsi" w:cstheme="majorHAnsi"/>
                <w:color w:val="000000"/>
                <w:sz w:val="14"/>
                <w:szCs w:val="16"/>
                <w:lang w:val="en-GB" w:eastAsia="en-GB"/>
              </w:rPr>
            </w:pPr>
            <w:r>
              <w:rPr>
                <w:rFonts w:asciiTheme="majorHAnsi" w:eastAsia="Times New Roman" w:hAnsiTheme="majorHAnsi" w:cstheme="majorHAnsi"/>
                <w:color w:val="000000"/>
                <w:sz w:val="14"/>
                <w:szCs w:val="16"/>
                <w:lang w:val="en-GB" w:eastAsia="en-GB"/>
              </w:rPr>
              <w:t>High</w:t>
            </w:r>
          </w:p>
        </w:tc>
        <w:tc>
          <w:tcPr>
            <w:tcW w:w="2840" w:type="dxa"/>
            <w:shd w:val="clear" w:color="auto" w:fill="auto"/>
            <w:vAlign w:val="center"/>
          </w:tcPr>
          <w:p w:rsidR="00724AC0" w:rsidRPr="00724AC0" w:rsidRDefault="00724AC0" w:rsidP="00724AC0">
            <w:pPr>
              <w:jc w:val="both"/>
              <w:rPr>
                <w:rFonts w:ascii="Calibri" w:hAnsi="Calibri" w:cs="Calibri"/>
                <w:color w:val="000000"/>
                <w:sz w:val="14"/>
                <w:szCs w:val="20"/>
                <w:lang w:val="en-GB"/>
              </w:rPr>
            </w:pPr>
            <w:r w:rsidRPr="00724AC0">
              <w:rPr>
                <w:rFonts w:ascii="Calibri" w:hAnsi="Calibri" w:cs="Calibri"/>
                <w:color w:val="000000"/>
                <w:sz w:val="14"/>
                <w:szCs w:val="20"/>
                <w:lang w:val="en-GB"/>
              </w:rPr>
              <w:t xml:space="preserve">Art. 11 par. 2(b) should be amended as: (b) the limits on the </w:t>
            </w:r>
            <w:r w:rsidRPr="00724AC0">
              <w:rPr>
                <w:rFonts w:ascii="Calibri" w:hAnsi="Calibri" w:cs="Calibri"/>
                <w:strike/>
                <w:color w:val="000000"/>
                <w:sz w:val="14"/>
                <w:szCs w:val="20"/>
                <w:lang w:val="en-GB"/>
              </w:rPr>
              <w:t>amount</w:t>
            </w:r>
            <w:r w:rsidRPr="00724AC0">
              <w:rPr>
                <w:rFonts w:ascii="Calibri" w:hAnsi="Calibri" w:cs="Calibri"/>
                <w:color w:val="000000"/>
                <w:sz w:val="14"/>
                <w:szCs w:val="20"/>
                <w:lang w:val="en-GB"/>
              </w:rPr>
              <w:t xml:space="preserve"> of derivative contracts in the cover pool; (b) Derivatives should only be allowed for hedging purposes. </w:t>
            </w:r>
          </w:p>
          <w:p w:rsidR="00724AC0" w:rsidRPr="00A42B3C" w:rsidRDefault="00724AC0" w:rsidP="00724AC0">
            <w:pPr>
              <w:jc w:val="both"/>
              <w:rPr>
                <w:rFonts w:asciiTheme="majorHAnsi" w:hAnsiTheme="majorHAnsi" w:cstheme="majorHAnsi"/>
                <w:color w:val="000000"/>
                <w:sz w:val="14"/>
                <w:szCs w:val="16"/>
                <w:lang w:val="en-GB"/>
              </w:rPr>
            </w:pPr>
          </w:p>
        </w:tc>
        <w:tc>
          <w:tcPr>
            <w:tcW w:w="709" w:type="dxa"/>
            <w:vAlign w:val="center"/>
          </w:tcPr>
          <w:p w:rsidR="00724AC0" w:rsidRPr="00A42B3C" w:rsidRDefault="00724AC0" w:rsidP="00724AC0">
            <w:pPr>
              <w:jc w:val="both"/>
              <w:rPr>
                <w:rFonts w:asciiTheme="majorHAnsi" w:hAnsiTheme="majorHAnsi" w:cstheme="majorHAnsi"/>
                <w:sz w:val="14"/>
                <w:szCs w:val="16"/>
                <w:lang w:val="en-GB"/>
              </w:rPr>
            </w:pPr>
            <w:r>
              <w:rPr>
                <w:rFonts w:asciiTheme="majorHAnsi" w:hAnsiTheme="majorHAnsi" w:cstheme="majorHAnsi"/>
                <w:sz w:val="14"/>
                <w:szCs w:val="16"/>
                <w:lang w:val="en-GB"/>
              </w:rPr>
              <w:t>EU</w:t>
            </w:r>
          </w:p>
        </w:tc>
      </w:tr>
      <w:tr w:rsidR="00724AC0" w:rsidRPr="00724AC0" w:rsidTr="00724AC0">
        <w:trPr>
          <w:trHeight w:val="475"/>
        </w:trPr>
        <w:tc>
          <w:tcPr>
            <w:tcW w:w="846" w:type="dxa"/>
            <w:vAlign w:val="center"/>
          </w:tcPr>
          <w:p w:rsidR="00724AC0" w:rsidRPr="00A42B3C" w:rsidRDefault="00724AC0" w:rsidP="00724AC0">
            <w:pPr>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4</w:t>
            </w:r>
          </w:p>
        </w:tc>
        <w:tc>
          <w:tcPr>
            <w:tcW w:w="850" w:type="dxa"/>
            <w:shd w:val="clear" w:color="auto" w:fill="auto"/>
            <w:vAlign w:val="center"/>
          </w:tcPr>
          <w:p w:rsidR="00724AC0" w:rsidRPr="00724AC0" w:rsidRDefault="00724AC0" w:rsidP="00724AC0">
            <w:pPr>
              <w:rPr>
                <w:rFonts w:ascii="Calibri" w:hAnsi="Calibri" w:cs="Calibri"/>
                <w:color w:val="000000"/>
                <w:sz w:val="14"/>
                <w:szCs w:val="20"/>
              </w:rPr>
            </w:pPr>
            <w:r w:rsidRPr="00724AC0">
              <w:rPr>
                <w:rFonts w:ascii="Calibri" w:hAnsi="Calibri" w:cs="Calibri"/>
                <w:color w:val="000000"/>
                <w:sz w:val="14"/>
                <w:szCs w:val="20"/>
              </w:rPr>
              <w:t>Art. 6 and 6a</w:t>
            </w:r>
          </w:p>
        </w:tc>
        <w:tc>
          <w:tcPr>
            <w:tcW w:w="2977" w:type="dxa"/>
            <w:shd w:val="clear" w:color="auto" w:fill="auto"/>
            <w:vAlign w:val="center"/>
          </w:tcPr>
          <w:p w:rsidR="00724AC0" w:rsidRPr="00724AC0" w:rsidRDefault="00724AC0" w:rsidP="00724AC0">
            <w:pPr>
              <w:rPr>
                <w:rFonts w:ascii="Calibri" w:hAnsi="Calibri" w:cs="Calibri"/>
                <w:color w:val="000000"/>
                <w:sz w:val="14"/>
                <w:szCs w:val="20"/>
                <w:lang w:val="en-GB"/>
              </w:rPr>
            </w:pPr>
            <w:r w:rsidRPr="00724AC0">
              <w:rPr>
                <w:rFonts w:ascii="Calibri" w:hAnsi="Calibri" w:cs="Calibri"/>
                <w:color w:val="000000"/>
                <w:sz w:val="14"/>
                <w:szCs w:val="20"/>
                <w:lang w:val="en-GB"/>
              </w:rPr>
              <w:t xml:space="preserve">Lucke proposes new article 6a for "ordinary covered bonds". </w:t>
            </w:r>
          </w:p>
        </w:tc>
        <w:tc>
          <w:tcPr>
            <w:tcW w:w="3402" w:type="dxa"/>
            <w:shd w:val="clear" w:color="auto" w:fill="auto"/>
            <w:vAlign w:val="center"/>
          </w:tcPr>
          <w:p w:rsidR="00724AC0" w:rsidRPr="00724AC0" w:rsidRDefault="00724AC0" w:rsidP="00724AC0">
            <w:pPr>
              <w:rPr>
                <w:rFonts w:ascii="Calibri" w:hAnsi="Calibri" w:cs="Calibri"/>
                <w:color w:val="000000"/>
                <w:sz w:val="14"/>
                <w:szCs w:val="20"/>
                <w:lang w:val="en-GB"/>
              </w:rPr>
            </w:pPr>
            <w:r w:rsidRPr="00724AC0">
              <w:rPr>
                <w:rFonts w:ascii="Calibri" w:hAnsi="Calibri" w:cs="Calibri"/>
                <w:color w:val="000000"/>
                <w:sz w:val="14"/>
                <w:szCs w:val="20"/>
                <w:lang w:val="en-GB"/>
              </w:rPr>
              <w:t xml:space="preserve">Lucke proposes two layers of CBs, </w:t>
            </w:r>
            <w:r w:rsidRPr="00724AC0">
              <w:rPr>
                <w:rFonts w:ascii="Calibri" w:hAnsi="Calibri" w:cs="Calibri"/>
                <w:i/>
                <w:iCs/>
                <w:color w:val="000000"/>
                <w:sz w:val="14"/>
                <w:szCs w:val="20"/>
                <w:lang w:val="en-GB"/>
              </w:rPr>
              <w:t>premium</w:t>
            </w:r>
            <w:r w:rsidRPr="00724AC0">
              <w:rPr>
                <w:rFonts w:ascii="Calibri" w:hAnsi="Calibri" w:cs="Calibri"/>
                <w:color w:val="000000"/>
                <w:sz w:val="14"/>
                <w:szCs w:val="20"/>
                <w:lang w:val="en-GB"/>
              </w:rPr>
              <w:t xml:space="preserve"> and </w:t>
            </w:r>
            <w:r w:rsidRPr="00724AC0">
              <w:rPr>
                <w:rFonts w:ascii="Calibri" w:hAnsi="Calibri" w:cs="Calibri"/>
                <w:i/>
                <w:iCs/>
                <w:color w:val="000000"/>
                <w:sz w:val="14"/>
                <w:szCs w:val="20"/>
                <w:lang w:val="en-GB"/>
              </w:rPr>
              <w:t>ordinary</w:t>
            </w:r>
            <w:r w:rsidRPr="00724AC0">
              <w:rPr>
                <w:rFonts w:ascii="Calibri" w:hAnsi="Calibri" w:cs="Calibri"/>
                <w:color w:val="000000"/>
                <w:sz w:val="14"/>
                <w:szCs w:val="20"/>
                <w:lang w:val="en-GB"/>
              </w:rPr>
              <w:t xml:space="preserve">. </w:t>
            </w:r>
          </w:p>
        </w:tc>
        <w:tc>
          <w:tcPr>
            <w:tcW w:w="3260" w:type="dxa"/>
            <w:shd w:val="clear" w:color="auto" w:fill="auto"/>
            <w:vAlign w:val="center"/>
          </w:tcPr>
          <w:p w:rsidR="00724AC0" w:rsidRPr="00724AC0" w:rsidRDefault="00724AC0" w:rsidP="00724AC0">
            <w:pPr>
              <w:jc w:val="both"/>
              <w:rPr>
                <w:rFonts w:ascii="Calibri" w:hAnsi="Calibri" w:cs="Calibri"/>
                <w:color w:val="000000"/>
                <w:sz w:val="14"/>
                <w:szCs w:val="20"/>
              </w:rPr>
            </w:pPr>
            <w:r w:rsidRPr="00724AC0">
              <w:rPr>
                <w:rFonts w:ascii="Calibri" w:hAnsi="Calibri" w:cs="Calibri"/>
                <w:color w:val="000000"/>
                <w:sz w:val="14"/>
                <w:szCs w:val="20"/>
                <w:lang w:val="en-GB"/>
              </w:rPr>
              <w:t xml:space="preserve">We fear that broadening the scope of eligible assets too much will dilute the CB product and have negative effects on the market.  </w:t>
            </w:r>
            <w:r w:rsidRPr="00724AC0">
              <w:rPr>
                <w:rFonts w:ascii="Calibri" w:hAnsi="Calibri" w:cs="Calibri"/>
                <w:color w:val="000000"/>
                <w:sz w:val="14"/>
                <w:szCs w:val="20"/>
              </w:rPr>
              <w:t xml:space="preserve">ESNs should be clearly separated from CBs. </w:t>
            </w:r>
          </w:p>
          <w:p w:rsidR="00724AC0" w:rsidRPr="00A42B3C" w:rsidRDefault="00724AC0" w:rsidP="00724AC0">
            <w:pPr>
              <w:jc w:val="both"/>
              <w:rPr>
                <w:rFonts w:asciiTheme="majorHAnsi" w:hAnsiTheme="majorHAnsi" w:cstheme="majorHAnsi"/>
                <w:color w:val="000000"/>
                <w:sz w:val="14"/>
                <w:szCs w:val="16"/>
                <w:lang w:val="en-GB"/>
              </w:rPr>
            </w:pPr>
          </w:p>
        </w:tc>
        <w:tc>
          <w:tcPr>
            <w:tcW w:w="851" w:type="dxa"/>
            <w:shd w:val="clear" w:color="auto" w:fill="auto"/>
            <w:vAlign w:val="center"/>
          </w:tcPr>
          <w:p w:rsidR="00724AC0" w:rsidRPr="00A42B3C" w:rsidRDefault="00724AC0" w:rsidP="00724AC0">
            <w:pPr>
              <w:jc w:val="both"/>
              <w:rPr>
                <w:rFonts w:asciiTheme="majorHAnsi" w:eastAsia="Times New Roman" w:hAnsiTheme="majorHAnsi" w:cstheme="majorHAnsi"/>
                <w:color w:val="000000"/>
                <w:sz w:val="14"/>
                <w:szCs w:val="16"/>
                <w:lang w:val="en-GB" w:eastAsia="en-GB"/>
              </w:rPr>
            </w:pPr>
            <w:r>
              <w:rPr>
                <w:rFonts w:asciiTheme="majorHAnsi" w:eastAsia="Times New Roman" w:hAnsiTheme="majorHAnsi" w:cstheme="majorHAnsi"/>
                <w:color w:val="000000"/>
                <w:sz w:val="14"/>
                <w:szCs w:val="16"/>
                <w:lang w:val="en-GB" w:eastAsia="en-GB"/>
              </w:rPr>
              <w:t>high</w:t>
            </w:r>
          </w:p>
        </w:tc>
        <w:tc>
          <w:tcPr>
            <w:tcW w:w="2840" w:type="dxa"/>
            <w:shd w:val="clear" w:color="auto" w:fill="auto"/>
            <w:vAlign w:val="center"/>
          </w:tcPr>
          <w:p w:rsidR="00724AC0" w:rsidRPr="00724AC0" w:rsidRDefault="00724AC0" w:rsidP="00724AC0">
            <w:pPr>
              <w:jc w:val="both"/>
              <w:rPr>
                <w:rFonts w:ascii="Calibri" w:hAnsi="Calibri" w:cs="Calibri"/>
                <w:color w:val="000000"/>
                <w:sz w:val="14"/>
                <w:szCs w:val="20"/>
              </w:rPr>
            </w:pPr>
            <w:r w:rsidRPr="00724AC0">
              <w:rPr>
                <w:rFonts w:ascii="Calibri" w:hAnsi="Calibri" w:cs="Calibri"/>
                <w:color w:val="000000"/>
                <w:sz w:val="14"/>
                <w:szCs w:val="20"/>
              </w:rPr>
              <w:t xml:space="preserve">delete art. 6a </w:t>
            </w:r>
          </w:p>
          <w:p w:rsidR="00724AC0" w:rsidRPr="00A42B3C" w:rsidRDefault="00724AC0" w:rsidP="00724AC0">
            <w:pPr>
              <w:jc w:val="both"/>
              <w:rPr>
                <w:rFonts w:asciiTheme="majorHAnsi" w:hAnsiTheme="majorHAnsi" w:cstheme="majorHAnsi"/>
                <w:color w:val="000000"/>
                <w:sz w:val="14"/>
                <w:szCs w:val="16"/>
                <w:lang w:val="en-GB"/>
              </w:rPr>
            </w:pPr>
          </w:p>
        </w:tc>
        <w:tc>
          <w:tcPr>
            <w:tcW w:w="709" w:type="dxa"/>
            <w:vAlign w:val="center"/>
          </w:tcPr>
          <w:p w:rsidR="00724AC0" w:rsidRPr="00A42B3C" w:rsidRDefault="00724AC0" w:rsidP="00724AC0">
            <w:pPr>
              <w:jc w:val="both"/>
              <w:rPr>
                <w:rFonts w:asciiTheme="majorHAnsi" w:hAnsiTheme="majorHAnsi" w:cstheme="majorHAnsi"/>
                <w:sz w:val="14"/>
                <w:szCs w:val="16"/>
                <w:lang w:val="en-GB"/>
              </w:rPr>
            </w:pPr>
            <w:r>
              <w:rPr>
                <w:rFonts w:asciiTheme="majorHAnsi" w:hAnsiTheme="majorHAnsi" w:cstheme="majorHAnsi"/>
                <w:sz w:val="14"/>
                <w:szCs w:val="16"/>
                <w:lang w:val="en-GB"/>
              </w:rPr>
              <w:t>EU</w:t>
            </w:r>
          </w:p>
        </w:tc>
      </w:tr>
    </w:tbl>
    <w:p w:rsidR="00724AC0" w:rsidRDefault="00724AC0" w:rsidP="00724AC0">
      <w:pPr>
        <w:rPr>
          <w:lang w:val="en-GB"/>
        </w:rPr>
      </w:pPr>
    </w:p>
    <w:p w:rsidR="00724AC0" w:rsidRPr="00724AC0" w:rsidRDefault="00724AC0">
      <w:pPr>
        <w:rPr>
          <w:rFonts w:asciiTheme="majorHAnsi" w:hAnsiTheme="majorHAnsi" w:cstheme="majorHAnsi"/>
          <w:i/>
          <w:sz w:val="20"/>
          <w:lang w:val="en-GB"/>
        </w:rPr>
      </w:pPr>
      <w:r w:rsidRPr="00724AC0">
        <w:rPr>
          <w:rFonts w:asciiTheme="majorHAnsi" w:hAnsiTheme="majorHAnsi" w:cstheme="majorHAnsi"/>
          <w:i/>
          <w:sz w:val="20"/>
          <w:lang w:val="en-GB"/>
        </w:rPr>
        <w:t>Source: Finance Finland</w:t>
      </w:r>
    </w:p>
    <w:p w:rsidR="00724AC0" w:rsidRDefault="00724AC0">
      <w:pPr>
        <w:rPr>
          <w:rFonts w:asciiTheme="majorHAnsi" w:eastAsiaTheme="majorEastAsia" w:hAnsiTheme="majorHAnsi" w:cstheme="majorBidi"/>
          <w:b/>
          <w:color w:val="DE840A"/>
          <w:szCs w:val="32"/>
          <w:lang w:val="en-GB"/>
        </w:rPr>
      </w:pPr>
      <w:r>
        <w:br w:type="page"/>
      </w:r>
    </w:p>
    <w:p w:rsidR="001351AF" w:rsidRPr="00A42B3C" w:rsidRDefault="001351AF" w:rsidP="001351AF">
      <w:pPr>
        <w:pStyle w:val="Heading1"/>
      </w:pPr>
      <w:r w:rsidRPr="00A42B3C">
        <w:lastRenderedPageBreak/>
        <w:t>France</w:t>
      </w:r>
    </w:p>
    <w:tbl>
      <w:tblPr>
        <w:tblpPr w:leftFromText="180" w:rightFromText="180" w:vertAnchor="text" w:horzAnchor="margin" w:tblpX="-714" w:tblpY="80"/>
        <w:tblW w:w="1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50"/>
        <w:gridCol w:w="993"/>
        <w:gridCol w:w="1417"/>
        <w:gridCol w:w="4253"/>
        <w:gridCol w:w="708"/>
        <w:gridCol w:w="5959"/>
        <w:gridCol w:w="709"/>
      </w:tblGrid>
      <w:tr w:rsidR="001351AF" w:rsidRPr="00A42B3C" w:rsidTr="008D7B95">
        <w:trPr>
          <w:trHeight w:val="475"/>
        </w:trPr>
        <w:tc>
          <w:tcPr>
            <w:tcW w:w="846" w:type="dxa"/>
            <w:shd w:val="clear" w:color="auto" w:fill="DE821B"/>
            <w:vAlign w:val="center"/>
          </w:tcPr>
          <w:p w:rsidR="001351AF" w:rsidRPr="00A42B3C" w:rsidRDefault="001351AF" w:rsidP="001351AF">
            <w:pPr>
              <w:jc w:val="center"/>
              <w:rPr>
                <w:rFonts w:asciiTheme="majorHAnsi" w:eastAsia="Times New Roman" w:hAnsiTheme="majorHAnsi" w:cstheme="majorHAnsi"/>
                <w:b/>
                <w:color w:val="FFFFFF" w:themeColor="background1"/>
                <w:sz w:val="14"/>
                <w:szCs w:val="16"/>
                <w:lang w:val="en-GB" w:eastAsia="en-GB"/>
              </w:rPr>
            </w:pPr>
            <w:r w:rsidRPr="00A42B3C">
              <w:rPr>
                <w:rFonts w:asciiTheme="majorHAnsi" w:eastAsia="Times New Roman" w:hAnsiTheme="majorHAnsi" w:cstheme="majorHAnsi"/>
                <w:b/>
                <w:color w:val="FFFFFF" w:themeColor="background1"/>
                <w:sz w:val="14"/>
                <w:szCs w:val="16"/>
                <w:lang w:val="en-GB" w:eastAsia="en-GB"/>
              </w:rPr>
              <w:t>Ranking of priority</w:t>
            </w:r>
          </w:p>
        </w:tc>
        <w:tc>
          <w:tcPr>
            <w:tcW w:w="850" w:type="dxa"/>
            <w:shd w:val="clear" w:color="auto" w:fill="DE821B"/>
            <w:vAlign w:val="center"/>
            <w:hideMark/>
          </w:tcPr>
          <w:p w:rsidR="001351AF" w:rsidRPr="00A42B3C" w:rsidRDefault="001351AF" w:rsidP="001351AF">
            <w:pPr>
              <w:jc w:val="center"/>
              <w:rPr>
                <w:rFonts w:asciiTheme="majorHAnsi" w:eastAsia="Times New Roman" w:hAnsiTheme="majorHAnsi" w:cstheme="majorHAnsi"/>
                <w:b/>
                <w:color w:val="FFFFFF" w:themeColor="background1"/>
                <w:sz w:val="14"/>
                <w:szCs w:val="16"/>
                <w:lang w:val="en-GB" w:eastAsia="en-GB"/>
              </w:rPr>
            </w:pPr>
            <w:r w:rsidRPr="00A42B3C">
              <w:rPr>
                <w:rFonts w:asciiTheme="majorHAnsi" w:eastAsia="Times New Roman" w:hAnsiTheme="majorHAnsi" w:cstheme="majorHAnsi"/>
                <w:b/>
                <w:color w:val="FFFFFF" w:themeColor="background1"/>
                <w:sz w:val="14"/>
                <w:szCs w:val="16"/>
                <w:lang w:val="en-GB" w:eastAsia="en-GB"/>
              </w:rPr>
              <w:t>Location</w:t>
            </w:r>
          </w:p>
        </w:tc>
        <w:tc>
          <w:tcPr>
            <w:tcW w:w="993" w:type="dxa"/>
            <w:shd w:val="clear" w:color="auto" w:fill="DE821B"/>
            <w:vAlign w:val="center"/>
            <w:hideMark/>
          </w:tcPr>
          <w:p w:rsidR="001351AF" w:rsidRPr="00A42B3C" w:rsidRDefault="001351AF" w:rsidP="001351AF">
            <w:pPr>
              <w:jc w:val="center"/>
              <w:rPr>
                <w:rFonts w:asciiTheme="majorHAnsi" w:eastAsia="Times New Roman" w:hAnsiTheme="majorHAnsi" w:cstheme="majorHAnsi"/>
                <w:b/>
                <w:color w:val="FFFFFF" w:themeColor="background1"/>
                <w:sz w:val="14"/>
                <w:szCs w:val="16"/>
                <w:lang w:val="en-GB" w:eastAsia="en-GB"/>
              </w:rPr>
            </w:pPr>
            <w:r w:rsidRPr="00A42B3C">
              <w:rPr>
                <w:rFonts w:asciiTheme="majorHAnsi" w:eastAsia="Times New Roman" w:hAnsiTheme="majorHAnsi" w:cstheme="majorHAnsi"/>
                <w:b/>
                <w:color w:val="FFFFFF" w:themeColor="background1"/>
                <w:sz w:val="14"/>
                <w:szCs w:val="16"/>
                <w:lang w:val="en-GB" w:eastAsia="en-GB"/>
              </w:rPr>
              <w:t>Precise passage concerned</w:t>
            </w:r>
          </w:p>
        </w:tc>
        <w:tc>
          <w:tcPr>
            <w:tcW w:w="1417" w:type="dxa"/>
            <w:shd w:val="clear" w:color="auto" w:fill="DE821B"/>
            <w:vAlign w:val="center"/>
            <w:hideMark/>
          </w:tcPr>
          <w:p w:rsidR="001351AF" w:rsidRPr="00A42B3C" w:rsidRDefault="001351AF" w:rsidP="001351AF">
            <w:pPr>
              <w:jc w:val="center"/>
              <w:rPr>
                <w:rFonts w:asciiTheme="majorHAnsi" w:eastAsia="Times New Roman" w:hAnsiTheme="majorHAnsi" w:cstheme="majorHAnsi"/>
                <w:b/>
                <w:color w:val="FFFFFF" w:themeColor="background1"/>
                <w:sz w:val="14"/>
                <w:szCs w:val="16"/>
                <w:lang w:val="en-GB" w:eastAsia="en-GB"/>
              </w:rPr>
            </w:pPr>
            <w:r w:rsidRPr="00A42B3C">
              <w:rPr>
                <w:rFonts w:asciiTheme="majorHAnsi" w:eastAsia="Times New Roman" w:hAnsiTheme="majorHAnsi" w:cstheme="majorHAnsi"/>
                <w:b/>
                <w:color w:val="FFFFFF" w:themeColor="background1"/>
                <w:sz w:val="14"/>
                <w:szCs w:val="16"/>
                <w:lang w:val="en-GB" w:eastAsia="en-GB"/>
              </w:rPr>
              <w:t>Description of the Issue</w:t>
            </w:r>
          </w:p>
        </w:tc>
        <w:tc>
          <w:tcPr>
            <w:tcW w:w="4253" w:type="dxa"/>
            <w:shd w:val="clear" w:color="auto" w:fill="DE821B"/>
            <w:vAlign w:val="center"/>
            <w:hideMark/>
          </w:tcPr>
          <w:p w:rsidR="001351AF" w:rsidRPr="00A42B3C" w:rsidRDefault="001351AF" w:rsidP="001351AF">
            <w:pPr>
              <w:jc w:val="center"/>
              <w:rPr>
                <w:rFonts w:asciiTheme="majorHAnsi" w:eastAsia="Times New Roman" w:hAnsiTheme="majorHAnsi" w:cstheme="majorHAnsi"/>
                <w:b/>
                <w:color w:val="FFFFFF" w:themeColor="background1"/>
                <w:sz w:val="14"/>
                <w:szCs w:val="16"/>
                <w:lang w:val="en-GB" w:eastAsia="en-GB"/>
              </w:rPr>
            </w:pPr>
            <w:r w:rsidRPr="00A42B3C">
              <w:rPr>
                <w:rFonts w:asciiTheme="majorHAnsi" w:eastAsia="Times New Roman" w:hAnsiTheme="majorHAnsi" w:cstheme="majorHAnsi"/>
                <w:b/>
                <w:color w:val="FFFFFF" w:themeColor="background1"/>
                <w:sz w:val="14"/>
                <w:szCs w:val="16"/>
                <w:lang w:val="en-GB" w:eastAsia="en-GB"/>
              </w:rPr>
              <w:t>Justification for potential amendment</w:t>
            </w:r>
          </w:p>
        </w:tc>
        <w:tc>
          <w:tcPr>
            <w:tcW w:w="708" w:type="dxa"/>
            <w:shd w:val="clear" w:color="auto" w:fill="DE821B"/>
            <w:vAlign w:val="center"/>
            <w:hideMark/>
          </w:tcPr>
          <w:p w:rsidR="001351AF" w:rsidRPr="00A42B3C" w:rsidRDefault="001351AF" w:rsidP="001351AF">
            <w:pPr>
              <w:jc w:val="center"/>
              <w:rPr>
                <w:rFonts w:asciiTheme="majorHAnsi" w:eastAsia="Times New Roman" w:hAnsiTheme="majorHAnsi" w:cstheme="majorHAnsi"/>
                <w:b/>
                <w:color w:val="FFFFFF" w:themeColor="background1"/>
                <w:sz w:val="14"/>
                <w:szCs w:val="16"/>
                <w:lang w:val="en-GB" w:eastAsia="en-GB"/>
              </w:rPr>
            </w:pPr>
            <w:r w:rsidRPr="00A42B3C">
              <w:rPr>
                <w:rFonts w:asciiTheme="majorHAnsi" w:eastAsia="Times New Roman" w:hAnsiTheme="majorHAnsi" w:cstheme="majorHAnsi"/>
                <w:b/>
                <w:color w:val="FFFFFF" w:themeColor="background1"/>
                <w:sz w:val="14"/>
                <w:szCs w:val="16"/>
                <w:lang w:val="en-GB" w:eastAsia="en-GB"/>
              </w:rPr>
              <w:t>Level of seriousness</w:t>
            </w:r>
          </w:p>
        </w:tc>
        <w:tc>
          <w:tcPr>
            <w:tcW w:w="5959" w:type="dxa"/>
            <w:shd w:val="clear" w:color="auto" w:fill="DE821B"/>
            <w:vAlign w:val="center"/>
            <w:hideMark/>
          </w:tcPr>
          <w:p w:rsidR="001351AF" w:rsidRPr="00A42B3C" w:rsidRDefault="001351AF" w:rsidP="001351AF">
            <w:pPr>
              <w:jc w:val="center"/>
              <w:rPr>
                <w:rFonts w:asciiTheme="majorHAnsi" w:eastAsia="Times New Roman" w:hAnsiTheme="majorHAnsi" w:cstheme="majorHAnsi"/>
                <w:b/>
                <w:color w:val="FFFFFF" w:themeColor="background1"/>
                <w:sz w:val="14"/>
                <w:szCs w:val="16"/>
                <w:lang w:val="en-GB" w:eastAsia="en-GB"/>
              </w:rPr>
            </w:pPr>
            <w:r w:rsidRPr="00A42B3C">
              <w:rPr>
                <w:rFonts w:asciiTheme="majorHAnsi" w:eastAsia="Times New Roman" w:hAnsiTheme="majorHAnsi" w:cstheme="majorHAnsi"/>
                <w:b/>
                <w:color w:val="FFFFFF" w:themeColor="background1"/>
                <w:sz w:val="14"/>
                <w:szCs w:val="16"/>
                <w:lang w:val="en-GB" w:eastAsia="en-GB"/>
              </w:rPr>
              <w:t>Proposal for a wording update</w:t>
            </w:r>
          </w:p>
        </w:tc>
        <w:tc>
          <w:tcPr>
            <w:tcW w:w="709" w:type="dxa"/>
            <w:shd w:val="clear" w:color="auto" w:fill="DE821B"/>
            <w:vAlign w:val="center"/>
          </w:tcPr>
          <w:p w:rsidR="001351AF" w:rsidRPr="00A42B3C" w:rsidRDefault="001351AF" w:rsidP="001351AF">
            <w:pPr>
              <w:jc w:val="center"/>
              <w:rPr>
                <w:rFonts w:asciiTheme="majorHAnsi" w:eastAsia="Times New Roman" w:hAnsiTheme="majorHAnsi" w:cstheme="majorHAnsi"/>
                <w:b/>
                <w:color w:val="FFFFFF" w:themeColor="background1"/>
                <w:sz w:val="14"/>
                <w:szCs w:val="16"/>
                <w:lang w:val="en-GB" w:eastAsia="en-GB"/>
              </w:rPr>
            </w:pPr>
            <w:r w:rsidRPr="00A42B3C">
              <w:rPr>
                <w:rFonts w:asciiTheme="majorHAnsi" w:eastAsia="Times New Roman" w:hAnsiTheme="majorHAnsi" w:cstheme="majorHAnsi"/>
                <w:b/>
                <w:color w:val="FFFFFF" w:themeColor="background1"/>
                <w:sz w:val="14"/>
                <w:szCs w:val="16"/>
                <w:lang w:val="en-GB" w:eastAsia="en-GB"/>
              </w:rPr>
              <w:t>Scope</w:t>
            </w:r>
          </w:p>
        </w:tc>
      </w:tr>
      <w:tr w:rsidR="001351AF" w:rsidRPr="00A42B3C" w:rsidTr="008D7B95">
        <w:trPr>
          <w:trHeight w:val="475"/>
        </w:trPr>
        <w:tc>
          <w:tcPr>
            <w:tcW w:w="846" w:type="dxa"/>
            <w:vAlign w:val="center"/>
          </w:tcPr>
          <w:p w:rsidR="001351AF" w:rsidRPr="00A42B3C" w:rsidRDefault="001351AF" w:rsidP="001351AF">
            <w:pPr>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1</w:t>
            </w:r>
          </w:p>
        </w:tc>
        <w:tc>
          <w:tcPr>
            <w:tcW w:w="850" w:type="dxa"/>
            <w:shd w:val="clear" w:color="auto" w:fill="auto"/>
            <w:vAlign w:val="center"/>
          </w:tcPr>
          <w:p w:rsidR="001351AF" w:rsidRPr="00A42B3C" w:rsidRDefault="001351AF"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Directive - Article 15</w:t>
            </w:r>
          </w:p>
        </w:tc>
        <w:tc>
          <w:tcPr>
            <w:tcW w:w="993" w:type="dxa"/>
            <w:shd w:val="clear" w:color="auto" w:fill="auto"/>
            <w:vAlign w:val="center"/>
          </w:tcPr>
          <w:p w:rsidR="001351AF" w:rsidRPr="00A42B3C" w:rsidRDefault="001351AF"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Amendments 45 to 48</w:t>
            </w:r>
          </w:p>
        </w:tc>
        <w:tc>
          <w:tcPr>
            <w:tcW w:w="1417" w:type="dxa"/>
            <w:shd w:val="clear" w:color="auto" w:fill="auto"/>
            <w:vAlign w:val="center"/>
          </w:tcPr>
          <w:p w:rsidR="001351AF" w:rsidRPr="00A42B3C" w:rsidRDefault="001351AF"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We suggest to add another amendment to that article.</w:t>
            </w:r>
          </w:p>
        </w:tc>
        <w:tc>
          <w:tcPr>
            <w:tcW w:w="4253" w:type="dxa"/>
            <w:shd w:val="clear" w:color="auto" w:fill="auto"/>
            <w:vAlign w:val="center"/>
          </w:tcPr>
          <w:p w:rsidR="001351AF" w:rsidRPr="00A42B3C" w:rsidRDefault="001351AF" w:rsidP="000B7E74">
            <w:pPr>
              <w:jc w:val="both"/>
              <w:rPr>
                <w:rFonts w:asciiTheme="majorHAnsi" w:hAnsiTheme="majorHAnsi" w:cstheme="majorHAnsi"/>
                <w:color w:val="000000"/>
                <w:sz w:val="14"/>
                <w:szCs w:val="16"/>
                <w:lang w:val="en-GB"/>
              </w:rPr>
            </w:pPr>
            <w:r w:rsidRPr="00A42B3C">
              <w:rPr>
                <w:rFonts w:asciiTheme="majorHAnsi" w:hAnsiTheme="majorHAnsi" w:cstheme="majorHAnsi"/>
                <w:color w:val="000000"/>
                <w:sz w:val="14"/>
                <w:szCs w:val="16"/>
                <w:lang w:val="en-GB"/>
              </w:rPr>
              <w:t>In order to be more precise, it is useful to specify that it is the book values of assets and liabilities that should be used to verify the coverage requirement.</w:t>
            </w:r>
          </w:p>
        </w:tc>
        <w:tc>
          <w:tcPr>
            <w:tcW w:w="708" w:type="dxa"/>
            <w:shd w:val="clear" w:color="auto" w:fill="auto"/>
            <w:vAlign w:val="center"/>
          </w:tcPr>
          <w:p w:rsidR="001351AF" w:rsidRPr="00A42B3C" w:rsidRDefault="001351AF"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High</w:t>
            </w:r>
          </w:p>
        </w:tc>
        <w:tc>
          <w:tcPr>
            <w:tcW w:w="5959" w:type="dxa"/>
            <w:shd w:val="clear" w:color="auto" w:fill="auto"/>
            <w:vAlign w:val="center"/>
          </w:tcPr>
          <w:p w:rsidR="001351AF" w:rsidRPr="00A42B3C" w:rsidRDefault="001351AF" w:rsidP="000B7E74">
            <w:pPr>
              <w:jc w:val="both"/>
              <w:rPr>
                <w:rFonts w:asciiTheme="majorHAnsi" w:hAnsiTheme="majorHAnsi" w:cstheme="majorHAnsi"/>
                <w:color w:val="000000"/>
                <w:sz w:val="14"/>
                <w:szCs w:val="16"/>
                <w:lang w:val="en-GB"/>
              </w:rPr>
            </w:pPr>
            <w:r w:rsidRPr="00A42B3C">
              <w:rPr>
                <w:rFonts w:asciiTheme="majorHAnsi" w:hAnsiTheme="majorHAnsi" w:cstheme="majorHAnsi"/>
                <w:color w:val="000000"/>
                <w:sz w:val="14"/>
                <w:szCs w:val="16"/>
                <w:lang w:val="en-GB"/>
              </w:rPr>
              <w:t>1. Member State shall ensure investor protection by requiring covered bond programmes to comply at all times with at least the following coverage requirements:</w:t>
            </w:r>
            <w:r w:rsidRPr="00A42B3C">
              <w:rPr>
                <w:rFonts w:asciiTheme="majorHAnsi" w:hAnsiTheme="majorHAnsi" w:cstheme="majorHAnsi"/>
                <w:color w:val="000000"/>
                <w:sz w:val="14"/>
                <w:szCs w:val="16"/>
                <w:lang w:val="en-GB"/>
              </w:rPr>
              <w:br/>
              <w:t xml:space="preserve">(a) all </w:t>
            </w:r>
            <w:r w:rsidRPr="00A42B3C">
              <w:rPr>
                <w:rFonts w:asciiTheme="majorHAnsi" w:hAnsiTheme="majorHAnsi" w:cstheme="majorHAnsi"/>
                <w:b/>
                <w:bCs/>
                <w:color w:val="000000"/>
                <w:sz w:val="14"/>
                <w:szCs w:val="16"/>
                <w:lang w:val="en-GB"/>
              </w:rPr>
              <w:t>book value of</w:t>
            </w:r>
            <w:r w:rsidRPr="00A42B3C">
              <w:rPr>
                <w:rFonts w:asciiTheme="majorHAnsi" w:hAnsiTheme="majorHAnsi" w:cstheme="majorHAnsi"/>
                <w:color w:val="000000"/>
                <w:sz w:val="14"/>
                <w:szCs w:val="16"/>
                <w:lang w:val="en-GB"/>
              </w:rPr>
              <w:t xml:space="preserve"> liabilities of the covered bonds, including the obligations for the payment of principal and any accrued interest of outstanding covered bonds and costs related to maintenance and administration of a covered bond programme, are covered by the</w:t>
            </w:r>
            <w:r w:rsidRPr="00A42B3C">
              <w:rPr>
                <w:rFonts w:asciiTheme="majorHAnsi" w:hAnsiTheme="majorHAnsi" w:cstheme="majorHAnsi"/>
                <w:b/>
                <w:bCs/>
                <w:color w:val="000000"/>
                <w:sz w:val="14"/>
                <w:szCs w:val="16"/>
                <w:lang w:val="en-GB"/>
              </w:rPr>
              <w:t xml:space="preserve"> book value of</w:t>
            </w:r>
            <w:r w:rsidRPr="00A42B3C">
              <w:rPr>
                <w:rFonts w:asciiTheme="majorHAnsi" w:hAnsiTheme="majorHAnsi" w:cstheme="majorHAnsi"/>
                <w:color w:val="000000"/>
                <w:sz w:val="14"/>
                <w:szCs w:val="16"/>
                <w:lang w:val="en-GB"/>
              </w:rPr>
              <w:t xml:space="preserve"> assets in the cover pool;</w:t>
            </w:r>
          </w:p>
        </w:tc>
        <w:tc>
          <w:tcPr>
            <w:tcW w:w="709" w:type="dxa"/>
            <w:vAlign w:val="center"/>
          </w:tcPr>
          <w:p w:rsidR="001351AF" w:rsidRPr="00A42B3C" w:rsidRDefault="001351AF" w:rsidP="000B7E74">
            <w:pPr>
              <w:jc w:val="both"/>
              <w:rPr>
                <w:rFonts w:asciiTheme="majorHAnsi" w:hAnsiTheme="majorHAnsi" w:cstheme="majorHAnsi"/>
                <w:sz w:val="14"/>
                <w:szCs w:val="16"/>
                <w:lang w:val="en-GB"/>
              </w:rPr>
            </w:pPr>
            <w:r w:rsidRPr="00A42B3C">
              <w:rPr>
                <w:rFonts w:asciiTheme="majorHAnsi" w:hAnsiTheme="majorHAnsi" w:cstheme="majorHAnsi"/>
                <w:sz w:val="14"/>
                <w:szCs w:val="16"/>
                <w:lang w:val="en-GB"/>
              </w:rPr>
              <w:t>EU</w:t>
            </w:r>
          </w:p>
        </w:tc>
      </w:tr>
      <w:tr w:rsidR="001351AF" w:rsidRPr="00A42B3C" w:rsidTr="008D7B95">
        <w:trPr>
          <w:trHeight w:val="475"/>
        </w:trPr>
        <w:tc>
          <w:tcPr>
            <w:tcW w:w="846" w:type="dxa"/>
            <w:vAlign w:val="center"/>
          </w:tcPr>
          <w:p w:rsidR="001351AF" w:rsidRPr="00A42B3C" w:rsidRDefault="001351AF" w:rsidP="001351AF">
            <w:pPr>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2</w:t>
            </w:r>
          </w:p>
        </w:tc>
        <w:tc>
          <w:tcPr>
            <w:tcW w:w="850" w:type="dxa"/>
            <w:shd w:val="clear" w:color="auto" w:fill="auto"/>
            <w:vAlign w:val="center"/>
          </w:tcPr>
          <w:p w:rsidR="001351AF" w:rsidRPr="00A42B3C" w:rsidRDefault="001351AF"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Directive - Article 16</w:t>
            </w:r>
            <w:r w:rsidR="005C1661" w:rsidRPr="00A42B3C">
              <w:rPr>
                <w:rFonts w:asciiTheme="majorHAnsi" w:eastAsia="Times New Roman" w:hAnsiTheme="majorHAnsi" w:cstheme="majorHAnsi"/>
                <w:color w:val="000000"/>
                <w:sz w:val="14"/>
                <w:szCs w:val="16"/>
                <w:lang w:val="en-GB" w:eastAsia="en-GB"/>
              </w:rPr>
              <w:t xml:space="preserve"> </w:t>
            </w:r>
          </w:p>
          <w:p w:rsidR="005C1661" w:rsidRPr="00A42B3C" w:rsidRDefault="005C1661"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Directive - Article 17</w:t>
            </w:r>
          </w:p>
        </w:tc>
        <w:tc>
          <w:tcPr>
            <w:tcW w:w="993" w:type="dxa"/>
            <w:shd w:val="clear" w:color="auto" w:fill="auto"/>
            <w:vAlign w:val="center"/>
          </w:tcPr>
          <w:p w:rsidR="001351AF" w:rsidRPr="00A42B3C" w:rsidRDefault="001351AF"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Amendment 53</w:t>
            </w:r>
            <w:r w:rsidR="005C1661" w:rsidRPr="00A42B3C">
              <w:rPr>
                <w:rFonts w:asciiTheme="majorHAnsi" w:eastAsia="Times New Roman" w:hAnsiTheme="majorHAnsi" w:cstheme="majorHAnsi"/>
                <w:color w:val="000000"/>
                <w:sz w:val="14"/>
                <w:szCs w:val="16"/>
                <w:lang w:val="en-GB" w:eastAsia="en-GB"/>
              </w:rPr>
              <w:t xml:space="preserve"> and 54</w:t>
            </w:r>
          </w:p>
        </w:tc>
        <w:tc>
          <w:tcPr>
            <w:tcW w:w="1417" w:type="dxa"/>
            <w:shd w:val="clear" w:color="auto" w:fill="auto"/>
            <w:vAlign w:val="center"/>
          </w:tcPr>
          <w:p w:rsidR="001351AF" w:rsidRPr="00A42B3C" w:rsidRDefault="001351AF"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We wish to conserve the Commission Proposal wording.</w:t>
            </w:r>
          </w:p>
        </w:tc>
        <w:tc>
          <w:tcPr>
            <w:tcW w:w="4253" w:type="dxa"/>
            <w:shd w:val="clear" w:color="auto" w:fill="auto"/>
            <w:vAlign w:val="center"/>
          </w:tcPr>
          <w:p w:rsidR="001351AF" w:rsidRPr="00A42B3C" w:rsidRDefault="001351AF" w:rsidP="000B7E74">
            <w:pPr>
              <w:jc w:val="both"/>
              <w:rPr>
                <w:rFonts w:asciiTheme="majorHAnsi" w:hAnsiTheme="majorHAnsi" w:cstheme="majorHAnsi"/>
                <w:color w:val="000000"/>
                <w:sz w:val="14"/>
                <w:szCs w:val="16"/>
                <w:lang w:val="en-GB"/>
              </w:rPr>
            </w:pPr>
            <w:r w:rsidRPr="00A42B3C">
              <w:rPr>
                <w:rFonts w:asciiTheme="majorHAnsi" w:hAnsiTheme="majorHAnsi" w:cstheme="majorHAnsi"/>
                <w:color w:val="000000"/>
                <w:sz w:val="14"/>
                <w:szCs w:val="16"/>
                <w:lang w:val="en-GB"/>
              </w:rPr>
              <w:t xml:space="preserve">This wording may be problematic because it could be wrongly interpreted. Indeed, it implies that the initial maturity should be taken into account for the liquidity buffer, yet the maturity extension is regarded as an </w:t>
            </w:r>
            <w:r w:rsidR="00BD0D33" w:rsidRPr="00A42B3C">
              <w:rPr>
                <w:rFonts w:asciiTheme="majorHAnsi" w:hAnsiTheme="majorHAnsi" w:cstheme="majorHAnsi"/>
                <w:color w:val="000000"/>
                <w:sz w:val="14"/>
                <w:szCs w:val="16"/>
                <w:lang w:val="en-GB"/>
              </w:rPr>
              <w:t>efficient</w:t>
            </w:r>
            <w:r w:rsidRPr="00A42B3C">
              <w:rPr>
                <w:rFonts w:asciiTheme="majorHAnsi" w:hAnsiTheme="majorHAnsi" w:cstheme="majorHAnsi"/>
                <w:color w:val="000000"/>
                <w:sz w:val="14"/>
                <w:szCs w:val="16"/>
                <w:lang w:val="en-GB"/>
              </w:rPr>
              <w:t xml:space="preserve"> liquidity tool to prevent covered bonds default and should be taken into account for the calculation of the net liquidity outflow.</w:t>
            </w:r>
          </w:p>
          <w:p w:rsidR="005C1661" w:rsidRPr="00A42B3C" w:rsidRDefault="005C1661" w:rsidP="000B7E74">
            <w:pPr>
              <w:jc w:val="both"/>
              <w:rPr>
                <w:rFonts w:asciiTheme="majorHAnsi" w:hAnsiTheme="majorHAnsi" w:cstheme="majorHAnsi"/>
                <w:color w:val="000000"/>
                <w:sz w:val="14"/>
                <w:szCs w:val="16"/>
                <w:lang w:val="en-GB"/>
              </w:rPr>
            </w:pPr>
            <w:r w:rsidRPr="00A42B3C">
              <w:rPr>
                <w:rFonts w:asciiTheme="majorHAnsi" w:hAnsiTheme="majorHAnsi" w:cstheme="majorHAnsi"/>
                <w:sz w:val="14"/>
                <w:szCs w:val="16"/>
                <w:lang w:val="en-GB"/>
              </w:rPr>
              <w:t xml:space="preserve">This proposal adds unnecessary additional constraints on the parties (investors and issuers). Conditions to trigger the maturity extension are already set up in the covered bonds documentation, which preserves investors' protection, </w:t>
            </w:r>
            <w:r w:rsidR="00716156">
              <w:rPr>
                <w:rFonts w:asciiTheme="majorHAnsi" w:hAnsiTheme="majorHAnsi" w:cstheme="majorHAnsi"/>
                <w:sz w:val="14"/>
                <w:szCs w:val="16"/>
                <w:lang w:val="en-GB"/>
              </w:rPr>
              <w:t xml:space="preserve">notwithstanding </w:t>
            </w:r>
            <w:r w:rsidRPr="00A42B3C">
              <w:rPr>
                <w:rFonts w:asciiTheme="majorHAnsi" w:hAnsiTheme="majorHAnsi" w:cstheme="majorHAnsi"/>
                <w:sz w:val="14"/>
                <w:szCs w:val="16"/>
                <w:lang w:val="en-GB"/>
              </w:rPr>
              <w:t>that such investors are, at least, "professional investors" or "eligible counterparties" under MIFID clients categorization. The maturity extension should occur before the insolvency / resolution of the issuer and allow to avoid such default (a distinction should be made in France between the default of the sponsor and the default of the issuer, which is a separate credit institution) and be triggered if such extension enables to avoid the default.</w:t>
            </w:r>
          </w:p>
        </w:tc>
        <w:tc>
          <w:tcPr>
            <w:tcW w:w="708" w:type="dxa"/>
            <w:shd w:val="clear" w:color="auto" w:fill="auto"/>
            <w:vAlign w:val="center"/>
          </w:tcPr>
          <w:p w:rsidR="001351AF" w:rsidRPr="00A42B3C" w:rsidRDefault="001351AF"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High</w:t>
            </w:r>
          </w:p>
        </w:tc>
        <w:tc>
          <w:tcPr>
            <w:tcW w:w="5959" w:type="dxa"/>
            <w:shd w:val="clear" w:color="auto" w:fill="auto"/>
            <w:vAlign w:val="center"/>
          </w:tcPr>
          <w:p w:rsidR="001351AF" w:rsidRPr="00A42B3C" w:rsidRDefault="001351AF" w:rsidP="000B7E74">
            <w:pPr>
              <w:jc w:val="both"/>
              <w:rPr>
                <w:rFonts w:asciiTheme="majorHAnsi" w:hAnsiTheme="majorHAnsi" w:cstheme="majorHAnsi"/>
                <w:color w:val="000000"/>
                <w:sz w:val="14"/>
                <w:szCs w:val="16"/>
                <w:lang w:val="en-GB"/>
              </w:rPr>
            </w:pPr>
            <w:r w:rsidRPr="00A42B3C">
              <w:rPr>
                <w:rFonts w:asciiTheme="majorHAnsi" w:hAnsiTheme="majorHAnsi" w:cstheme="majorHAnsi"/>
                <w:color w:val="000000"/>
                <w:sz w:val="14"/>
                <w:szCs w:val="16"/>
                <w:lang w:val="en-GB"/>
              </w:rPr>
              <w:t>5. Member States may allow for the calculation of the principal for extendable maturity structures to be based on the final maturity date of the covered bond.</w:t>
            </w:r>
          </w:p>
          <w:p w:rsidR="005C1661" w:rsidRPr="00A42B3C" w:rsidRDefault="005C1661" w:rsidP="000B7E74">
            <w:pPr>
              <w:jc w:val="both"/>
              <w:rPr>
                <w:rFonts w:asciiTheme="majorHAnsi" w:hAnsiTheme="majorHAnsi" w:cstheme="majorHAnsi"/>
                <w:color w:val="000000"/>
                <w:sz w:val="14"/>
                <w:szCs w:val="16"/>
                <w:lang w:val="en-GB"/>
              </w:rPr>
            </w:pPr>
          </w:p>
          <w:p w:rsidR="005C1661" w:rsidRPr="00A42B3C" w:rsidRDefault="005C1661" w:rsidP="000B7E74">
            <w:pPr>
              <w:jc w:val="both"/>
              <w:rPr>
                <w:rFonts w:asciiTheme="majorHAnsi" w:hAnsiTheme="majorHAnsi" w:cstheme="majorHAnsi"/>
                <w:color w:val="000000"/>
                <w:sz w:val="14"/>
                <w:szCs w:val="16"/>
                <w:lang w:val="en-GB"/>
              </w:rPr>
            </w:pPr>
            <w:r w:rsidRPr="00A42B3C">
              <w:rPr>
                <w:rFonts w:asciiTheme="majorHAnsi" w:hAnsiTheme="majorHAnsi" w:cstheme="majorHAnsi"/>
                <w:color w:val="000000"/>
                <w:sz w:val="14"/>
                <w:szCs w:val="16"/>
                <w:lang w:val="en-GB"/>
              </w:rPr>
              <w:t>(b) the maturity extension is not triggered at the discretion of the credit institution issuing covered bonds;</w:t>
            </w:r>
          </w:p>
        </w:tc>
        <w:tc>
          <w:tcPr>
            <w:tcW w:w="709" w:type="dxa"/>
            <w:vAlign w:val="center"/>
          </w:tcPr>
          <w:p w:rsidR="001351AF" w:rsidRPr="00A42B3C" w:rsidRDefault="001351AF" w:rsidP="000B7E74">
            <w:pPr>
              <w:jc w:val="both"/>
              <w:rPr>
                <w:rFonts w:asciiTheme="majorHAnsi" w:hAnsiTheme="majorHAnsi" w:cstheme="majorHAnsi"/>
                <w:sz w:val="14"/>
                <w:szCs w:val="16"/>
                <w:lang w:val="en-GB"/>
              </w:rPr>
            </w:pPr>
            <w:r w:rsidRPr="00A42B3C">
              <w:rPr>
                <w:rFonts w:asciiTheme="majorHAnsi" w:hAnsiTheme="majorHAnsi" w:cstheme="majorHAnsi"/>
                <w:sz w:val="14"/>
                <w:szCs w:val="16"/>
                <w:lang w:val="en-GB"/>
              </w:rPr>
              <w:t>EU</w:t>
            </w:r>
          </w:p>
        </w:tc>
      </w:tr>
      <w:tr w:rsidR="001351AF" w:rsidRPr="00A42B3C" w:rsidTr="008D7B95">
        <w:trPr>
          <w:trHeight w:val="475"/>
        </w:trPr>
        <w:tc>
          <w:tcPr>
            <w:tcW w:w="846" w:type="dxa"/>
            <w:vAlign w:val="center"/>
          </w:tcPr>
          <w:p w:rsidR="001351AF" w:rsidRPr="00A42B3C" w:rsidRDefault="005C1661" w:rsidP="001351AF">
            <w:pPr>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3</w:t>
            </w:r>
          </w:p>
        </w:tc>
        <w:tc>
          <w:tcPr>
            <w:tcW w:w="850" w:type="dxa"/>
            <w:shd w:val="clear" w:color="auto" w:fill="auto"/>
            <w:vAlign w:val="center"/>
          </w:tcPr>
          <w:p w:rsidR="001351AF" w:rsidRPr="00A42B3C" w:rsidRDefault="001351AF"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Directive - Article 11</w:t>
            </w:r>
          </w:p>
        </w:tc>
        <w:tc>
          <w:tcPr>
            <w:tcW w:w="993" w:type="dxa"/>
            <w:shd w:val="clear" w:color="auto" w:fill="auto"/>
            <w:vAlign w:val="center"/>
          </w:tcPr>
          <w:p w:rsidR="001351AF" w:rsidRPr="00A42B3C" w:rsidRDefault="001351AF"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No amendment in the Bernd Lucke report on the matter</w:t>
            </w:r>
          </w:p>
        </w:tc>
        <w:tc>
          <w:tcPr>
            <w:tcW w:w="1417" w:type="dxa"/>
            <w:shd w:val="clear" w:color="auto" w:fill="auto"/>
            <w:vAlign w:val="center"/>
          </w:tcPr>
          <w:p w:rsidR="001351AF" w:rsidRPr="00A42B3C" w:rsidRDefault="001351AF"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We suggest an amendment that removes the limits on the amount of derivative contracts in the cover pool.</w:t>
            </w:r>
          </w:p>
        </w:tc>
        <w:tc>
          <w:tcPr>
            <w:tcW w:w="4253" w:type="dxa"/>
            <w:shd w:val="clear" w:color="auto" w:fill="auto"/>
            <w:vAlign w:val="center"/>
          </w:tcPr>
          <w:p w:rsidR="001351AF" w:rsidRPr="00A42B3C" w:rsidRDefault="001351AF" w:rsidP="000B7E74">
            <w:pPr>
              <w:jc w:val="both"/>
              <w:rPr>
                <w:rFonts w:asciiTheme="majorHAnsi" w:hAnsiTheme="majorHAnsi" w:cstheme="majorHAnsi"/>
                <w:color w:val="000000"/>
                <w:sz w:val="14"/>
                <w:szCs w:val="16"/>
                <w:lang w:val="en-GB"/>
              </w:rPr>
            </w:pPr>
            <w:r w:rsidRPr="00A42B3C">
              <w:rPr>
                <w:rFonts w:asciiTheme="majorHAnsi" w:hAnsiTheme="majorHAnsi" w:cstheme="majorHAnsi"/>
                <w:color w:val="000000"/>
                <w:sz w:val="14"/>
                <w:szCs w:val="16"/>
                <w:lang w:val="en-GB"/>
              </w:rPr>
              <w:t xml:space="preserve">The obligation to set a limit on the amounts of derivatives does not seem consistent with the fact that derivatives are used only for hedging </w:t>
            </w:r>
            <w:r w:rsidR="008D7B95" w:rsidRPr="00A42B3C">
              <w:rPr>
                <w:rFonts w:asciiTheme="majorHAnsi" w:hAnsiTheme="majorHAnsi" w:cstheme="majorHAnsi"/>
                <w:color w:val="000000"/>
                <w:sz w:val="14"/>
                <w:szCs w:val="16"/>
                <w:lang w:val="en-GB"/>
              </w:rPr>
              <w:t>purposes and</w:t>
            </w:r>
            <w:r w:rsidRPr="00A42B3C">
              <w:rPr>
                <w:rFonts w:asciiTheme="majorHAnsi" w:hAnsiTheme="majorHAnsi" w:cstheme="majorHAnsi"/>
                <w:color w:val="000000"/>
                <w:sz w:val="14"/>
                <w:szCs w:val="16"/>
                <w:lang w:val="en-GB"/>
              </w:rPr>
              <w:t xml:space="preserve"> cannot be terminated upon the insolvency or resolution of the credit institution issuing the covered bonds, and hence provide additional protection to the covered bond holders.</w:t>
            </w:r>
            <w:r w:rsidRPr="00A42B3C">
              <w:rPr>
                <w:rFonts w:asciiTheme="majorHAnsi" w:hAnsiTheme="majorHAnsi" w:cstheme="majorHAnsi"/>
                <w:b/>
                <w:bCs/>
                <w:color w:val="000000"/>
                <w:sz w:val="14"/>
                <w:szCs w:val="16"/>
                <w:lang w:val="en-GB"/>
              </w:rPr>
              <w:t xml:space="preserve"> </w:t>
            </w:r>
            <w:r w:rsidRPr="00A42B3C">
              <w:rPr>
                <w:rFonts w:asciiTheme="majorHAnsi" w:hAnsiTheme="majorHAnsi" w:cstheme="majorHAnsi"/>
                <w:color w:val="000000"/>
                <w:sz w:val="14"/>
                <w:szCs w:val="16"/>
                <w:lang w:val="en-GB"/>
              </w:rPr>
              <w:br/>
              <w:t xml:space="preserve">Regarding paragraph (3), issuers will be only be able to </w:t>
            </w:r>
            <w:r w:rsidR="008D7B95" w:rsidRPr="00A42B3C">
              <w:rPr>
                <w:rFonts w:asciiTheme="majorHAnsi" w:hAnsiTheme="majorHAnsi" w:cstheme="majorHAnsi"/>
                <w:color w:val="000000"/>
                <w:sz w:val="14"/>
                <w:szCs w:val="16"/>
                <w:lang w:val="en-GB"/>
              </w:rPr>
              <w:t>negotiate</w:t>
            </w:r>
            <w:r w:rsidRPr="00A42B3C">
              <w:rPr>
                <w:rFonts w:asciiTheme="majorHAnsi" w:hAnsiTheme="majorHAnsi" w:cstheme="majorHAnsi"/>
                <w:color w:val="000000"/>
                <w:sz w:val="14"/>
                <w:szCs w:val="16"/>
                <w:lang w:val="en-GB"/>
              </w:rPr>
              <w:t xml:space="preserve"> the clause required in (11)(1)(d), (i.e. insolvency is not a termination event), at an acceptable price, if the derivatives counterparties have the same level of protection as the bond holders.</w:t>
            </w:r>
          </w:p>
        </w:tc>
        <w:tc>
          <w:tcPr>
            <w:tcW w:w="708" w:type="dxa"/>
            <w:shd w:val="clear" w:color="auto" w:fill="auto"/>
            <w:vAlign w:val="center"/>
          </w:tcPr>
          <w:p w:rsidR="001351AF" w:rsidRPr="00A42B3C" w:rsidRDefault="001351AF"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High</w:t>
            </w:r>
          </w:p>
        </w:tc>
        <w:tc>
          <w:tcPr>
            <w:tcW w:w="5959" w:type="dxa"/>
            <w:shd w:val="clear" w:color="auto" w:fill="auto"/>
            <w:vAlign w:val="center"/>
          </w:tcPr>
          <w:p w:rsidR="001351AF" w:rsidRPr="00A42B3C" w:rsidRDefault="001351AF" w:rsidP="000B7E74">
            <w:pPr>
              <w:jc w:val="both"/>
              <w:rPr>
                <w:rFonts w:asciiTheme="majorHAnsi" w:hAnsiTheme="majorHAnsi" w:cstheme="majorHAnsi"/>
                <w:color w:val="000000"/>
                <w:sz w:val="14"/>
                <w:szCs w:val="16"/>
                <w:lang w:val="en-GB"/>
              </w:rPr>
            </w:pPr>
            <w:r w:rsidRPr="00A42B3C">
              <w:rPr>
                <w:rFonts w:asciiTheme="majorHAnsi" w:hAnsiTheme="majorHAnsi" w:cstheme="majorHAnsi"/>
                <w:color w:val="000000"/>
                <w:sz w:val="14"/>
                <w:szCs w:val="16"/>
                <w:lang w:val="en-GB"/>
              </w:rPr>
              <w:t>Derivative contracts in the cover pool</w:t>
            </w:r>
            <w:r w:rsidRPr="00A42B3C">
              <w:rPr>
                <w:rFonts w:asciiTheme="majorHAnsi" w:hAnsiTheme="majorHAnsi" w:cstheme="majorHAnsi"/>
                <w:color w:val="000000"/>
                <w:sz w:val="14"/>
                <w:szCs w:val="16"/>
                <w:lang w:val="en-GB"/>
              </w:rPr>
              <w:br/>
              <w:t>1.Member States shall ensure investor protection by allowing derivative contracts to be included in the cover pool only where at least the following requirements are met:</w:t>
            </w:r>
            <w:r w:rsidRPr="00A42B3C">
              <w:rPr>
                <w:rFonts w:asciiTheme="majorHAnsi" w:hAnsiTheme="majorHAnsi" w:cstheme="majorHAnsi"/>
                <w:color w:val="000000"/>
                <w:sz w:val="14"/>
                <w:szCs w:val="16"/>
                <w:lang w:val="en-GB"/>
              </w:rPr>
              <w:br/>
              <w:t>(a) the derivative contracts are included in the cover pool exclusively for risk hedging purposes;</w:t>
            </w:r>
            <w:r w:rsidRPr="00A42B3C">
              <w:rPr>
                <w:rFonts w:asciiTheme="majorHAnsi" w:hAnsiTheme="majorHAnsi" w:cstheme="majorHAnsi"/>
                <w:color w:val="000000"/>
                <w:sz w:val="14"/>
                <w:szCs w:val="16"/>
                <w:lang w:val="en-GB"/>
              </w:rPr>
              <w:br/>
              <w:t>(b) the derivative contracts are sufficiently documented;</w:t>
            </w:r>
            <w:r w:rsidRPr="00A42B3C">
              <w:rPr>
                <w:rFonts w:asciiTheme="majorHAnsi" w:hAnsiTheme="majorHAnsi" w:cstheme="majorHAnsi"/>
                <w:color w:val="000000"/>
                <w:sz w:val="14"/>
                <w:szCs w:val="16"/>
                <w:lang w:val="en-GB"/>
              </w:rPr>
              <w:br/>
              <w:t>(c) the derivative contracts are segregated in accordance with Article 12;</w:t>
            </w:r>
            <w:r w:rsidRPr="00A42B3C">
              <w:rPr>
                <w:rFonts w:asciiTheme="majorHAnsi" w:hAnsiTheme="majorHAnsi" w:cstheme="majorHAnsi"/>
                <w:color w:val="000000"/>
                <w:sz w:val="14"/>
                <w:szCs w:val="16"/>
                <w:lang w:val="en-GB"/>
              </w:rPr>
              <w:br/>
              <w:t>(d) the derivative contracts cannot be terminated upon the insolvency or resolution of the credit institution issuing covered bonds;</w:t>
            </w:r>
            <w:r w:rsidRPr="00A42B3C">
              <w:rPr>
                <w:rFonts w:asciiTheme="majorHAnsi" w:hAnsiTheme="majorHAnsi" w:cstheme="majorHAnsi"/>
                <w:color w:val="000000"/>
                <w:sz w:val="14"/>
                <w:szCs w:val="16"/>
                <w:lang w:val="en-GB"/>
              </w:rPr>
              <w:br/>
              <w:t>(e) the derivative contracts comply with the rules laid down in accordance with paragraph 2.</w:t>
            </w:r>
            <w:r w:rsidRPr="00A42B3C">
              <w:rPr>
                <w:rFonts w:asciiTheme="majorHAnsi" w:hAnsiTheme="majorHAnsi" w:cstheme="majorHAnsi"/>
                <w:color w:val="000000"/>
                <w:sz w:val="14"/>
                <w:szCs w:val="16"/>
                <w:lang w:val="en-GB"/>
              </w:rPr>
              <w:br/>
              <w:t>2. For the purposes of ensuring compliance with the requirements listed in paragraph 1, Member States shall lay down rules for cover pool derivative contracts including at least:</w:t>
            </w:r>
            <w:r w:rsidRPr="00A42B3C">
              <w:rPr>
                <w:rFonts w:asciiTheme="majorHAnsi" w:hAnsiTheme="majorHAnsi" w:cstheme="majorHAnsi"/>
                <w:color w:val="000000"/>
                <w:sz w:val="14"/>
                <w:szCs w:val="16"/>
                <w:lang w:val="en-GB"/>
              </w:rPr>
              <w:br/>
              <w:t>(a) the eligibility criteria for the hedging counterparties;</w:t>
            </w:r>
            <w:r w:rsidRPr="00A42B3C">
              <w:rPr>
                <w:rFonts w:asciiTheme="majorHAnsi" w:hAnsiTheme="majorHAnsi" w:cstheme="majorHAnsi"/>
                <w:color w:val="000000"/>
                <w:sz w:val="14"/>
                <w:szCs w:val="16"/>
                <w:lang w:val="en-GB"/>
              </w:rPr>
              <w:br/>
            </w:r>
            <w:r w:rsidRPr="00A42B3C">
              <w:rPr>
                <w:rFonts w:asciiTheme="majorHAnsi" w:hAnsiTheme="majorHAnsi" w:cstheme="majorHAnsi"/>
                <w:b/>
                <w:bCs/>
                <w:strike/>
                <w:color w:val="000000"/>
                <w:sz w:val="14"/>
                <w:szCs w:val="16"/>
                <w:lang w:val="en-GB"/>
              </w:rPr>
              <w:t xml:space="preserve"> (b) the limits on the amount of derivative contracts in the cover pool;</w:t>
            </w:r>
            <w:r w:rsidRPr="00A42B3C">
              <w:rPr>
                <w:rFonts w:asciiTheme="majorHAnsi" w:hAnsiTheme="majorHAnsi" w:cstheme="majorHAnsi"/>
                <w:color w:val="000000"/>
                <w:sz w:val="14"/>
                <w:szCs w:val="16"/>
                <w:lang w:val="en-GB"/>
              </w:rPr>
              <w:br/>
              <w:t>(b</w:t>
            </w:r>
            <w:r w:rsidRPr="00A42B3C">
              <w:rPr>
                <w:rFonts w:asciiTheme="majorHAnsi" w:hAnsiTheme="majorHAnsi" w:cstheme="majorHAnsi"/>
                <w:strike/>
                <w:color w:val="000000"/>
                <w:sz w:val="14"/>
                <w:szCs w:val="16"/>
                <w:lang w:val="en-GB"/>
              </w:rPr>
              <w:t>c</w:t>
            </w:r>
            <w:r w:rsidRPr="00A42B3C">
              <w:rPr>
                <w:rFonts w:asciiTheme="majorHAnsi" w:hAnsiTheme="majorHAnsi" w:cstheme="majorHAnsi"/>
                <w:color w:val="000000"/>
                <w:sz w:val="14"/>
                <w:szCs w:val="16"/>
                <w:lang w:val="en-GB"/>
              </w:rPr>
              <w:t xml:space="preserve">) the necessary documentation to be provided in relation to derivative contracts. </w:t>
            </w:r>
            <w:r w:rsidRPr="00A42B3C">
              <w:rPr>
                <w:rFonts w:asciiTheme="majorHAnsi" w:hAnsiTheme="majorHAnsi" w:cstheme="majorHAnsi"/>
                <w:color w:val="000000"/>
                <w:sz w:val="14"/>
                <w:szCs w:val="16"/>
                <w:lang w:val="en-GB"/>
              </w:rPr>
              <w:br/>
            </w:r>
            <w:r w:rsidRPr="00A42B3C">
              <w:rPr>
                <w:rFonts w:asciiTheme="majorHAnsi" w:hAnsiTheme="majorHAnsi" w:cstheme="majorHAnsi"/>
                <w:b/>
                <w:bCs/>
                <w:color w:val="000000"/>
                <w:sz w:val="14"/>
                <w:szCs w:val="16"/>
                <w:lang w:val="en-GB"/>
              </w:rPr>
              <w:t>3. When derivative contracts are concluded to hedge risks linked to covered bond issuance or assets in the cover pool, they benefit from the provisions mentioned in Chapter 1 (Dual recourse and bankruptcy remoteness).</w:t>
            </w:r>
          </w:p>
        </w:tc>
        <w:tc>
          <w:tcPr>
            <w:tcW w:w="709" w:type="dxa"/>
            <w:vAlign w:val="center"/>
          </w:tcPr>
          <w:p w:rsidR="001351AF" w:rsidRPr="00A42B3C" w:rsidRDefault="001351AF" w:rsidP="000B7E74">
            <w:pPr>
              <w:jc w:val="both"/>
              <w:rPr>
                <w:rFonts w:asciiTheme="majorHAnsi" w:hAnsiTheme="majorHAnsi" w:cstheme="majorHAnsi"/>
                <w:sz w:val="14"/>
                <w:szCs w:val="16"/>
                <w:lang w:val="en-GB"/>
              </w:rPr>
            </w:pPr>
            <w:r w:rsidRPr="00A42B3C">
              <w:rPr>
                <w:rFonts w:asciiTheme="majorHAnsi" w:hAnsiTheme="majorHAnsi" w:cstheme="majorHAnsi"/>
                <w:sz w:val="14"/>
                <w:szCs w:val="16"/>
                <w:lang w:val="en-GB"/>
              </w:rPr>
              <w:t>EU</w:t>
            </w:r>
          </w:p>
        </w:tc>
      </w:tr>
      <w:tr w:rsidR="005C1661" w:rsidRPr="00A42B3C" w:rsidTr="008D7B95">
        <w:trPr>
          <w:trHeight w:val="475"/>
        </w:trPr>
        <w:tc>
          <w:tcPr>
            <w:tcW w:w="846" w:type="dxa"/>
            <w:vAlign w:val="center"/>
          </w:tcPr>
          <w:p w:rsidR="005C1661" w:rsidRPr="00A42B3C" w:rsidRDefault="005C1661" w:rsidP="001351AF">
            <w:pPr>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4</w:t>
            </w:r>
          </w:p>
        </w:tc>
        <w:tc>
          <w:tcPr>
            <w:tcW w:w="850" w:type="dxa"/>
            <w:shd w:val="clear" w:color="auto" w:fill="auto"/>
            <w:vAlign w:val="center"/>
          </w:tcPr>
          <w:p w:rsidR="005C1661" w:rsidRPr="00A42B3C" w:rsidRDefault="005C1661"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Directive - Article 10</w:t>
            </w:r>
          </w:p>
        </w:tc>
        <w:tc>
          <w:tcPr>
            <w:tcW w:w="993" w:type="dxa"/>
            <w:shd w:val="clear" w:color="auto" w:fill="auto"/>
            <w:vAlign w:val="center"/>
          </w:tcPr>
          <w:p w:rsidR="005C1661" w:rsidRPr="00A42B3C" w:rsidRDefault="005C1661"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Amendment 38</w:t>
            </w:r>
          </w:p>
        </w:tc>
        <w:tc>
          <w:tcPr>
            <w:tcW w:w="1417" w:type="dxa"/>
            <w:shd w:val="clear" w:color="auto" w:fill="auto"/>
            <w:vAlign w:val="center"/>
          </w:tcPr>
          <w:p w:rsidR="005C1661" w:rsidRPr="00A42B3C" w:rsidRDefault="005C1661"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 xml:space="preserve">French issuers wish to maintain the current practice of having </w:t>
            </w:r>
            <w:r w:rsidR="00DD7D35" w:rsidRPr="00A42B3C">
              <w:rPr>
                <w:rFonts w:asciiTheme="majorHAnsi" w:eastAsia="Times New Roman" w:hAnsiTheme="majorHAnsi" w:cstheme="majorHAnsi"/>
                <w:color w:val="000000"/>
                <w:sz w:val="14"/>
                <w:szCs w:val="16"/>
                <w:lang w:val="en-GB" w:eastAsia="en-GB"/>
              </w:rPr>
              <w:t>mixed</w:t>
            </w:r>
            <w:r w:rsidRPr="00A42B3C">
              <w:rPr>
                <w:rFonts w:asciiTheme="majorHAnsi" w:eastAsia="Times New Roman" w:hAnsiTheme="majorHAnsi" w:cstheme="majorHAnsi"/>
                <w:color w:val="000000"/>
                <w:sz w:val="14"/>
                <w:szCs w:val="16"/>
                <w:lang w:val="en-GB" w:eastAsia="en-GB"/>
              </w:rPr>
              <w:t xml:space="preserve"> cover pool assets (residential and commercial </w:t>
            </w:r>
            <w:r w:rsidRPr="00A42B3C">
              <w:rPr>
                <w:rFonts w:asciiTheme="majorHAnsi" w:eastAsia="Times New Roman" w:hAnsiTheme="majorHAnsi" w:cstheme="majorHAnsi"/>
                <w:color w:val="000000"/>
                <w:sz w:val="14"/>
                <w:szCs w:val="16"/>
                <w:lang w:val="en-GB" w:eastAsia="en-GB"/>
              </w:rPr>
              <w:lastRenderedPageBreak/>
              <w:t>mortgage and public loans).</w:t>
            </w:r>
          </w:p>
        </w:tc>
        <w:tc>
          <w:tcPr>
            <w:tcW w:w="4253" w:type="dxa"/>
            <w:shd w:val="clear" w:color="auto" w:fill="auto"/>
            <w:vAlign w:val="center"/>
          </w:tcPr>
          <w:p w:rsidR="005C1661" w:rsidRPr="00A42B3C" w:rsidRDefault="005C1661" w:rsidP="000B7E74">
            <w:pPr>
              <w:jc w:val="both"/>
              <w:rPr>
                <w:rFonts w:asciiTheme="majorHAnsi" w:hAnsiTheme="majorHAnsi" w:cstheme="majorHAnsi"/>
                <w:color w:val="000000"/>
                <w:sz w:val="14"/>
                <w:szCs w:val="16"/>
                <w:lang w:val="en-GB"/>
              </w:rPr>
            </w:pPr>
            <w:r w:rsidRPr="00A42B3C">
              <w:rPr>
                <w:rFonts w:asciiTheme="majorHAnsi" w:hAnsiTheme="majorHAnsi" w:cstheme="majorHAnsi"/>
                <w:color w:val="000000"/>
                <w:sz w:val="14"/>
                <w:szCs w:val="16"/>
                <w:lang w:val="en-GB"/>
              </w:rPr>
              <w:lastRenderedPageBreak/>
              <w:t>This amendment is in contradiction with the EBA and European Commission’s objective which is reminded on page 4 of the Directive: “A fundamental aim of the approach in this package is to avoid disrupting well-functioning and mature national markets”. This is supported by the European Central Bank opinion dated August 22nd</w:t>
            </w:r>
            <w:r w:rsidR="00DD7D35" w:rsidRPr="00A42B3C">
              <w:rPr>
                <w:rFonts w:asciiTheme="majorHAnsi" w:hAnsiTheme="majorHAnsi" w:cstheme="majorHAnsi"/>
                <w:color w:val="000000"/>
                <w:sz w:val="14"/>
                <w:szCs w:val="16"/>
                <w:lang w:val="en-GB"/>
              </w:rPr>
              <w:t>, 2018</w:t>
            </w:r>
            <w:r w:rsidRPr="00A42B3C">
              <w:rPr>
                <w:rFonts w:asciiTheme="majorHAnsi" w:hAnsiTheme="majorHAnsi" w:cstheme="majorHAnsi"/>
                <w:color w:val="000000"/>
                <w:sz w:val="14"/>
                <w:szCs w:val="16"/>
                <w:lang w:val="en-GB"/>
              </w:rPr>
              <w:t xml:space="preserve"> that mentions: "Member States may allow for mixed pools where they specify the safeguards needed to ensure that the risk profile of the </w:t>
            </w:r>
            <w:r w:rsidRPr="00A42B3C">
              <w:rPr>
                <w:rFonts w:asciiTheme="majorHAnsi" w:hAnsiTheme="majorHAnsi" w:cstheme="majorHAnsi"/>
                <w:color w:val="000000"/>
                <w:sz w:val="14"/>
                <w:szCs w:val="16"/>
                <w:lang w:val="en-GB"/>
              </w:rPr>
              <w:lastRenderedPageBreak/>
              <w:t>assets in a pool is of a sufficiently similar nature and that the composition of the cover pool does not materially change over time".</w:t>
            </w:r>
          </w:p>
          <w:p w:rsidR="005C1661" w:rsidRPr="00A42B3C" w:rsidRDefault="005C1661" w:rsidP="000B7E74">
            <w:pPr>
              <w:jc w:val="both"/>
              <w:rPr>
                <w:rFonts w:asciiTheme="majorHAnsi" w:hAnsiTheme="majorHAnsi" w:cstheme="majorHAnsi"/>
                <w:color w:val="000000"/>
                <w:sz w:val="14"/>
                <w:szCs w:val="16"/>
                <w:lang w:val="en-GB"/>
              </w:rPr>
            </w:pPr>
            <w:r w:rsidRPr="00A42B3C">
              <w:rPr>
                <w:rFonts w:asciiTheme="majorHAnsi" w:hAnsiTheme="majorHAnsi" w:cstheme="majorHAnsi"/>
                <w:color w:val="000000"/>
                <w:sz w:val="14"/>
                <w:szCs w:val="16"/>
                <w:lang w:val="en-GB"/>
              </w:rPr>
              <w:t>Moreover, restraining precisely the assets in three specific groups, as proposed in the ECON Draft Report, would, for example, exclude the possibility for a mortgage covered bond issuer to dispose of substitute assets or assets for liquidity purposes which are supposed to correspond to categories (a), (b) or (c) of Article 129(1) of Regulation (EU) No 575/2013.</w:t>
            </w:r>
          </w:p>
        </w:tc>
        <w:tc>
          <w:tcPr>
            <w:tcW w:w="708" w:type="dxa"/>
            <w:shd w:val="clear" w:color="auto" w:fill="auto"/>
            <w:vAlign w:val="center"/>
          </w:tcPr>
          <w:p w:rsidR="005C1661" w:rsidRPr="00A42B3C" w:rsidRDefault="005C1661"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lastRenderedPageBreak/>
              <w:t>High</w:t>
            </w:r>
          </w:p>
        </w:tc>
        <w:tc>
          <w:tcPr>
            <w:tcW w:w="5959" w:type="dxa"/>
            <w:shd w:val="clear" w:color="auto" w:fill="auto"/>
            <w:vAlign w:val="center"/>
          </w:tcPr>
          <w:p w:rsidR="005C1661" w:rsidRPr="00A42B3C" w:rsidRDefault="005C1661" w:rsidP="000B7E74">
            <w:pPr>
              <w:jc w:val="both"/>
              <w:rPr>
                <w:rFonts w:ascii="Calibri" w:hAnsi="Calibri" w:cs="Calibri"/>
                <w:color w:val="000000"/>
                <w:sz w:val="14"/>
                <w:szCs w:val="20"/>
                <w:lang w:val="en-GB"/>
              </w:rPr>
            </w:pPr>
            <w:r w:rsidRPr="00A42B3C">
              <w:rPr>
                <w:rFonts w:ascii="Calibri" w:hAnsi="Calibri" w:cs="Calibri"/>
                <w:color w:val="000000"/>
                <w:sz w:val="14"/>
                <w:szCs w:val="20"/>
                <w:lang w:val="en-GB"/>
              </w:rPr>
              <w:t xml:space="preserve">Member States shall ensure investor protection by providing for a sufficient level of homogeneity of the assets in the cover pool </w:t>
            </w:r>
            <w:r w:rsidRPr="00A42B3C">
              <w:rPr>
                <w:rFonts w:ascii="Calibri" w:hAnsi="Calibri" w:cs="Calibri"/>
                <w:strike/>
                <w:color w:val="000000"/>
                <w:sz w:val="14"/>
                <w:szCs w:val="20"/>
                <w:lang w:val="en-GB"/>
              </w:rPr>
              <w:t>so that they shall be of a similar nature in terms of structural features, lifetime of assets or risk profile.</w:t>
            </w:r>
          </w:p>
          <w:p w:rsidR="005C1661" w:rsidRPr="00A42B3C" w:rsidRDefault="005C1661" w:rsidP="000B7E74">
            <w:pPr>
              <w:jc w:val="both"/>
              <w:rPr>
                <w:rFonts w:asciiTheme="majorHAnsi" w:hAnsiTheme="majorHAnsi" w:cstheme="majorHAnsi"/>
                <w:color w:val="000000"/>
                <w:sz w:val="14"/>
                <w:szCs w:val="16"/>
                <w:lang w:val="en-GB"/>
              </w:rPr>
            </w:pPr>
          </w:p>
        </w:tc>
        <w:tc>
          <w:tcPr>
            <w:tcW w:w="709" w:type="dxa"/>
            <w:vAlign w:val="center"/>
          </w:tcPr>
          <w:p w:rsidR="005C1661" w:rsidRPr="00A42B3C" w:rsidRDefault="005C1661" w:rsidP="000B7E74">
            <w:pPr>
              <w:jc w:val="both"/>
              <w:rPr>
                <w:rFonts w:asciiTheme="majorHAnsi" w:hAnsiTheme="majorHAnsi" w:cstheme="majorHAnsi"/>
                <w:sz w:val="14"/>
                <w:szCs w:val="16"/>
                <w:lang w:val="en-GB"/>
              </w:rPr>
            </w:pPr>
            <w:r w:rsidRPr="00A42B3C">
              <w:rPr>
                <w:rFonts w:asciiTheme="majorHAnsi" w:hAnsiTheme="majorHAnsi" w:cstheme="majorHAnsi"/>
                <w:sz w:val="14"/>
                <w:szCs w:val="16"/>
                <w:lang w:val="en-GB"/>
              </w:rPr>
              <w:t>National</w:t>
            </w:r>
          </w:p>
        </w:tc>
      </w:tr>
    </w:tbl>
    <w:p w:rsidR="00B17B60" w:rsidRPr="00A42B3C" w:rsidRDefault="008D7B95" w:rsidP="001351AF">
      <w:pPr>
        <w:rPr>
          <w:rFonts w:asciiTheme="majorHAnsi" w:hAnsiTheme="majorHAnsi" w:cstheme="majorHAnsi"/>
          <w:i/>
          <w:sz w:val="20"/>
          <w:lang w:val="en-GB"/>
        </w:rPr>
      </w:pPr>
      <w:r w:rsidRPr="00A42B3C">
        <w:rPr>
          <w:rFonts w:asciiTheme="majorHAnsi" w:hAnsiTheme="majorHAnsi" w:cstheme="majorHAnsi"/>
          <w:i/>
          <w:sz w:val="20"/>
          <w:lang w:val="en-GB"/>
        </w:rPr>
        <w:t>Source: CFF</w:t>
      </w:r>
    </w:p>
    <w:p w:rsidR="00B17B60" w:rsidRPr="00A42B3C" w:rsidRDefault="00B17B60">
      <w:pPr>
        <w:rPr>
          <w:rFonts w:asciiTheme="majorHAnsi" w:hAnsiTheme="majorHAnsi" w:cstheme="majorHAnsi"/>
          <w:sz w:val="20"/>
          <w:lang w:val="en-GB"/>
        </w:rPr>
      </w:pPr>
      <w:r w:rsidRPr="00A42B3C">
        <w:rPr>
          <w:rFonts w:asciiTheme="majorHAnsi" w:hAnsiTheme="majorHAnsi" w:cstheme="majorHAnsi"/>
          <w:sz w:val="20"/>
          <w:lang w:val="en-GB"/>
        </w:rPr>
        <w:br w:type="page"/>
      </w:r>
    </w:p>
    <w:p w:rsidR="00752754" w:rsidRPr="00A42B3C" w:rsidRDefault="00F95BE9" w:rsidP="00752754">
      <w:pPr>
        <w:pStyle w:val="Heading1"/>
      </w:pPr>
      <w:bookmarkStart w:id="8" w:name="_Germany_1"/>
      <w:bookmarkEnd w:id="8"/>
      <w:r w:rsidRPr="00A42B3C">
        <w:lastRenderedPageBreak/>
        <w:t>Germany</w:t>
      </w:r>
    </w:p>
    <w:p w:rsidR="000A0E95" w:rsidRPr="00A42B3C" w:rsidRDefault="000A0E95" w:rsidP="000A0E95">
      <w:pPr>
        <w:jc w:val="both"/>
        <w:rPr>
          <w:rFonts w:asciiTheme="majorHAnsi" w:hAnsiTheme="majorHAnsi" w:cstheme="majorHAnsi"/>
          <w:sz w:val="16"/>
          <w:szCs w:val="16"/>
          <w:lang w:val="en-GB"/>
        </w:rPr>
      </w:pPr>
    </w:p>
    <w:tbl>
      <w:tblPr>
        <w:tblpPr w:leftFromText="180" w:rightFromText="180" w:vertAnchor="text" w:horzAnchor="margin" w:tblpY="80"/>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50"/>
        <w:gridCol w:w="3969"/>
        <w:gridCol w:w="2552"/>
        <w:gridCol w:w="1843"/>
        <w:gridCol w:w="1134"/>
        <w:gridCol w:w="2693"/>
        <w:gridCol w:w="709"/>
      </w:tblGrid>
      <w:tr w:rsidR="0010242A" w:rsidRPr="00A42B3C" w:rsidTr="0010242A">
        <w:trPr>
          <w:trHeight w:val="475"/>
        </w:trPr>
        <w:tc>
          <w:tcPr>
            <w:tcW w:w="846" w:type="dxa"/>
            <w:shd w:val="clear" w:color="auto" w:fill="DE821B"/>
            <w:vAlign w:val="center"/>
          </w:tcPr>
          <w:p w:rsidR="0010242A" w:rsidRPr="00A42B3C" w:rsidRDefault="0010242A" w:rsidP="0010242A">
            <w:pPr>
              <w:jc w:val="center"/>
              <w:rPr>
                <w:rFonts w:asciiTheme="majorHAnsi" w:eastAsia="Times New Roman" w:hAnsiTheme="majorHAnsi" w:cstheme="majorHAnsi"/>
                <w:b/>
                <w:color w:val="FFFFFF" w:themeColor="background1"/>
                <w:sz w:val="14"/>
                <w:szCs w:val="16"/>
                <w:lang w:val="en-GB" w:eastAsia="en-GB"/>
              </w:rPr>
            </w:pPr>
            <w:bookmarkStart w:id="9" w:name="_Hlk513565721"/>
            <w:r w:rsidRPr="00A42B3C">
              <w:rPr>
                <w:rFonts w:asciiTheme="majorHAnsi" w:eastAsia="Times New Roman" w:hAnsiTheme="majorHAnsi" w:cstheme="majorHAnsi"/>
                <w:b/>
                <w:color w:val="FFFFFF" w:themeColor="background1"/>
                <w:sz w:val="14"/>
                <w:szCs w:val="16"/>
                <w:lang w:val="en-GB" w:eastAsia="en-GB"/>
              </w:rPr>
              <w:t>Ranking of priority</w:t>
            </w:r>
          </w:p>
        </w:tc>
        <w:tc>
          <w:tcPr>
            <w:tcW w:w="850" w:type="dxa"/>
            <w:shd w:val="clear" w:color="auto" w:fill="DE821B"/>
            <w:vAlign w:val="center"/>
            <w:hideMark/>
          </w:tcPr>
          <w:p w:rsidR="0010242A" w:rsidRPr="00A42B3C" w:rsidRDefault="0010242A" w:rsidP="0010242A">
            <w:pPr>
              <w:jc w:val="center"/>
              <w:rPr>
                <w:rFonts w:asciiTheme="majorHAnsi" w:eastAsia="Times New Roman" w:hAnsiTheme="majorHAnsi" w:cstheme="majorHAnsi"/>
                <w:b/>
                <w:color w:val="FFFFFF" w:themeColor="background1"/>
                <w:sz w:val="14"/>
                <w:szCs w:val="16"/>
                <w:lang w:val="en-GB" w:eastAsia="en-GB"/>
              </w:rPr>
            </w:pPr>
            <w:r w:rsidRPr="00A42B3C">
              <w:rPr>
                <w:rFonts w:asciiTheme="majorHAnsi" w:eastAsia="Times New Roman" w:hAnsiTheme="majorHAnsi" w:cstheme="majorHAnsi"/>
                <w:b/>
                <w:color w:val="FFFFFF" w:themeColor="background1"/>
                <w:sz w:val="14"/>
                <w:szCs w:val="16"/>
                <w:lang w:val="en-GB" w:eastAsia="en-GB"/>
              </w:rPr>
              <w:t>Location</w:t>
            </w:r>
          </w:p>
        </w:tc>
        <w:tc>
          <w:tcPr>
            <w:tcW w:w="3969" w:type="dxa"/>
            <w:shd w:val="clear" w:color="auto" w:fill="DE821B"/>
            <w:vAlign w:val="center"/>
            <w:hideMark/>
          </w:tcPr>
          <w:p w:rsidR="0010242A" w:rsidRPr="00A42B3C" w:rsidRDefault="0010242A" w:rsidP="0010242A">
            <w:pPr>
              <w:jc w:val="center"/>
              <w:rPr>
                <w:rFonts w:asciiTheme="majorHAnsi" w:eastAsia="Times New Roman" w:hAnsiTheme="majorHAnsi" w:cstheme="majorHAnsi"/>
                <w:b/>
                <w:color w:val="FFFFFF" w:themeColor="background1"/>
                <w:sz w:val="14"/>
                <w:szCs w:val="16"/>
                <w:lang w:val="en-GB" w:eastAsia="en-GB"/>
              </w:rPr>
            </w:pPr>
            <w:r w:rsidRPr="00A42B3C">
              <w:rPr>
                <w:rFonts w:asciiTheme="majorHAnsi" w:eastAsia="Times New Roman" w:hAnsiTheme="majorHAnsi" w:cstheme="majorHAnsi"/>
                <w:b/>
                <w:color w:val="FFFFFF" w:themeColor="background1"/>
                <w:sz w:val="14"/>
                <w:szCs w:val="16"/>
                <w:lang w:val="en-GB" w:eastAsia="en-GB"/>
              </w:rPr>
              <w:t>Precise passage concerned</w:t>
            </w:r>
          </w:p>
        </w:tc>
        <w:tc>
          <w:tcPr>
            <w:tcW w:w="2552" w:type="dxa"/>
            <w:shd w:val="clear" w:color="auto" w:fill="DE821B"/>
            <w:vAlign w:val="center"/>
            <w:hideMark/>
          </w:tcPr>
          <w:p w:rsidR="0010242A" w:rsidRPr="00A42B3C" w:rsidRDefault="0010242A" w:rsidP="0010242A">
            <w:pPr>
              <w:jc w:val="center"/>
              <w:rPr>
                <w:rFonts w:asciiTheme="majorHAnsi" w:eastAsia="Times New Roman" w:hAnsiTheme="majorHAnsi" w:cstheme="majorHAnsi"/>
                <w:b/>
                <w:color w:val="FFFFFF" w:themeColor="background1"/>
                <w:sz w:val="14"/>
                <w:szCs w:val="16"/>
                <w:lang w:val="en-GB" w:eastAsia="en-GB"/>
              </w:rPr>
            </w:pPr>
            <w:r w:rsidRPr="00A42B3C">
              <w:rPr>
                <w:rFonts w:asciiTheme="majorHAnsi" w:eastAsia="Times New Roman" w:hAnsiTheme="majorHAnsi" w:cstheme="majorHAnsi"/>
                <w:b/>
                <w:color w:val="FFFFFF" w:themeColor="background1"/>
                <w:sz w:val="14"/>
                <w:szCs w:val="16"/>
                <w:lang w:val="en-GB" w:eastAsia="en-GB"/>
              </w:rPr>
              <w:t>Description of the Issue</w:t>
            </w:r>
          </w:p>
        </w:tc>
        <w:tc>
          <w:tcPr>
            <w:tcW w:w="1843" w:type="dxa"/>
            <w:shd w:val="clear" w:color="auto" w:fill="DE821B"/>
            <w:vAlign w:val="center"/>
            <w:hideMark/>
          </w:tcPr>
          <w:p w:rsidR="0010242A" w:rsidRPr="00A42B3C" w:rsidRDefault="0010242A" w:rsidP="0010242A">
            <w:pPr>
              <w:jc w:val="center"/>
              <w:rPr>
                <w:rFonts w:asciiTheme="majorHAnsi" w:eastAsia="Times New Roman" w:hAnsiTheme="majorHAnsi" w:cstheme="majorHAnsi"/>
                <w:b/>
                <w:color w:val="FFFFFF" w:themeColor="background1"/>
                <w:sz w:val="14"/>
                <w:szCs w:val="16"/>
                <w:lang w:val="en-GB" w:eastAsia="en-GB"/>
              </w:rPr>
            </w:pPr>
            <w:r w:rsidRPr="00A42B3C">
              <w:rPr>
                <w:rFonts w:asciiTheme="majorHAnsi" w:eastAsia="Times New Roman" w:hAnsiTheme="majorHAnsi" w:cstheme="majorHAnsi"/>
                <w:b/>
                <w:color w:val="FFFFFF" w:themeColor="background1"/>
                <w:sz w:val="14"/>
                <w:szCs w:val="16"/>
                <w:lang w:val="en-GB" w:eastAsia="en-GB"/>
              </w:rPr>
              <w:t>Justification for potential amendment</w:t>
            </w:r>
          </w:p>
        </w:tc>
        <w:tc>
          <w:tcPr>
            <w:tcW w:w="1134" w:type="dxa"/>
            <w:shd w:val="clear" w:color="auto" w:fill="DE821B"/>
            <w:vAlign w:val="center"/>
            <w:hideMark/>
          </w:tcPr>
          <w:p w:rsidR="0010242A" w:rsidRPr="00A42B3C" w:rsidRDefault="0010242A" w:rsidP="0010242A">
            <w:pPr>
              <w:jc w:val="center"/>
              <w:rPr>
                <w:rFonts w:asciiTheme="majorHAnsi" w:eastAsia="Times New Roman" w:hAnsiTheme="majorHAnsi" w:cstheme="majorHAnsi"/>
                <w:b/>
                <w:color w:val="FFFFFF" w:themeColor="background1"/>
                <w:sz w:val="14"/>
                <w:szCs w:val="16"/>
                <w:lang w:val="en-GB" w:eastAsia="en-GB"/>
              </w:rPr>
            </w:pPr>
            <w:r w:rsidRPr="00A42B3C">
              <w:rPr>
                <w:rFonts w:asciiTheme="majorHAnsi" w:eastAsia="Times New Roman" w:hAnsiTheme="majorHAnsi" w:cstheme="majorHAnsi"/>
                <w:b/>
                <w:color w:val="FFFFFF" w:themeColor="background1"/>
                <w:sz w:val="14"/>
                <w:szCs w:val="16"/>
                <w:lang w:val="en-GB" w:eastAsia="en-GB"/>
              </w:rPr>
              <w:t>Level of seriousness</w:t>
            </w:r>
          </w:p>
        </w:tc>
        <w:tc>
          <w:tcPr>
            <w:tcW w:w="2693" w:type="dxa"/>
            <w:shd w:val="clear" w:color="auto" w:fill="DE821B"/>
            <w:vAlign w:val="center"/>
            <w:hideMark/>
          </w:tcPr>
          <w:p w:rsidR="0010242A" w:rsidRPr="00A42B3C" w:rsidRDefault="0010242A" w:rsidP="0010242A">
            <w:pPr>
              <w:jc w:val="center"/>
              <w:rPr>
                <w:rFonts w:asciiTheme="majorHAnsi" w:eastAsia="Times New Roman" w:hAnsiTheme="majorHAnsi" w:cstheme="majorHAnsi"/>
                <w:b/>
                <w:color w:val="FFFFFF" w:themeColor="background1"/>
                <w:sz w:val="14"/>
                <w:szCs w:val="16"/>
                <w:lang w:val="en-GB" w:eastAsia="en-GB"/>
              </w:rPr>
            </w:pPr>
            <w:r w:rsidRPr="00A42B3C">
              <w:rPr>
                <w:rFonts w:asciiTheme="majorHAnsi" w:eastAsia="Times New Roman" w:hAnsiTheme="majorHAnsi" w:cstheme="majorHAnsi"/>
                <w:b/>
                <w:color w:val="FFFFFF" w:themeColor="background1"/>
                <w:sz w:val="14"/>
                <w:szCs w:val="16"/>
                <w:lang w:val="en-GB" w:eastAsia="en-GB"/>
              </w:rPr>
              <w:t>Proposal for a wording update</w:t>
            </w:r>
          </w:p>
        </w:tc>
        <w:tc>
          <w:tcPr>
            <w:tcW w:w="709" w:type="dxa"/>
            <w:shd w:val="clear" w:color="auto" w:fill="DE821B"/>
            <w:vAlign w:val="center"/>
          </w:tcPr>
          <w:p w:rsidR="0010242A" w:rsidRPr="00A42B3C" w:rsidRDefault="0010242A" w:rsidP="0010242A">
            <w:pPr>
              <w:jc w:val="center"/>
              <w:rPr>
                <w:rFonts w:asciiTheme="majorHAnsi" w:eastAsia="Times New Roman" w:hAnsiTheme="majorHAnsi" w:cstheme="majorHAnsi"/>
                <w:b/>
                <w:color w:val="FFFFFF" w:themeColor="background1"/>
                <w:sz w:val="14"/>
                <w:szCs w:val="16"/>
                <w:lang w:val="en-GB" w:eastAsia="en-GB"/>
              </w:rPr>
            </w:pPr>
            <w:r w:rsidRPr="00A42B3C">
              <w:rPr>
                <w:rFonts w:asciiTheme="majorHAnsi" w:eastAsia="Times New Roman" w:hAnsiTheme="majorHAnsi" w:cstheme="majorHAnsi"/>
                <w:b/>
                <w:color w:val="FFFFFF" w:themeColor="background1"/>
                <w:sz w:val="14"/>
                <w:szCs w:val="16"/>
                <w:lang w:val="en-GB" w:eastAsia="en-GB"/>
              </w:rPr>
              <w:t>Scope</w:t>
            </w:r>
          </w:p>
        </w:tc>
      </w:tr>
      <w:tr w:rsidR="0010242A" w:rsidRPr="00A42B3C" w:rsidTr="0010242A">
        <w:trPr>
          <w:trHeight w:val="475"/>
        </w:trPr>
        <w:tc>
          <w:tcPr>
            <w:tcW w:w="846" w:type="dxa"/>
            <w:vAlign w:val="center"/>
          </w:tcPr>
          <w:p w:rsidR="0010242A" w:rsidRPr="00A42B3C" w:rsidRDefault="0010242A" w:rsidP="0010242A">
            <w:pPr>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1</w:t>
            </w:r>
          </w:p>
        </w:tc>
        <w:tc>
          <w:tcPr>
            <w:tcW w:w="850" w:type="dxa"/>
            <w:shd w:val="clear" w:color="auto" w:fill="auto"/>
          </w:tcPr>
          <w:p w:rsidR="0010242A" w:rsidRPr="00A42B3C" w:rsidRDefault="0010242A" w:rsidP="000B7E74">
            <w:pPr>
              <w:jc w:val="both"/>
              <w:rPr>
                <w:rFonts w:asciiTheme="majorHAnsi" w:hAnsiTheme="majorHAnsi" w:cstheme="majorHAnsi"/>
                <w:sz w:val="14"/>
                <w:szCs w:val="16"/>
                <w:lang w:val="en-GB"/>
              </w:rPr>
            </w:pPr>
            <w:r w:rsidRPr="00A42B3C">
              <w:rPr>
                <w:rFonts w:asciiTheme="majorHAnsi" w:hAnsiTheme="majorHAnsi" w:cstheme="majorHAnsi"/>
                <w:sz w:val="14"/>
                <w:szCs w:val="16"/>
                <w:lang w:val="en-GB"/>
              </w:rPr>
              <w:t>Art. 6a par. 3(b) of the Directive</w:t>
            </w:r>
          </w:p>
        </w:tc>
        <w:tc>
          <w:tcPr>
            <w:tcW w:w="3969" w:type="dxa"/>
            <w:shd w:val="clear" w:color="auto" w:fill="auto"/>
          </w:tcPr>
          <w:p w:rsidR="0010242A" w:rsidRPr="00A42B3C" w:rsidRDefault="0010242A" w:rsidP="000B7E74">
            <w:pPr>
              <w:jc w:val="both"/>
              <w:rPr>
                <w:rFonts w:asciiTheme="majorHAnsi" w:hAnsiTheme="majorHAnsi" w:cstheme="majorHAnsi"/>
                <w:sz w:val="14"/>
                <w:szCs w:val="16"/>
                <w:lang w:val="en-GB"/>
              </w:rPr>
            </w:pPr>
            <w:r w:rsidRPr="00A42B3C">
              <w:rPr>
                <w:rFonts w:asciiTheme="majorHAnsi" w:hAnsiTheme="majorHAnsi" w:cstheme="majorHAnsi"/>
                <w:sz w:val="14"/>
                <w:szCs w:val="16"/>
                <w:lang w:val="en-GB"/>
              </w:rPr>
              <w:t>(b) for assets in the form of exposures to a counterparty, the counterparty's safety and soundness is inferred from its tax-raising powers or from being subject to either public supervision or an on-going credit assessment by an independent professional third party. For the purposes of this point, the rating by a nominated ECAI shall be regarded as an independent third party's credit assessment.</w:t>
            </w:r>
          </w:p>
        </w:tc>
        <w:tc>
          <w:tcPr>
            <w:tcW w:w="2552" w:type="dxa"/>
            <w:shd w:val="clear" w:color="auto" w:fill="auto"/>
          </w:tcPr>
          <w:p w:rsidR="0010242A" w:rsidRPr="00A42B3C" w:rsidRDefault="0010242A" w:rsidP="000B7E74">
            <w:pPr>
              <w:jc w:val="both"/>
              <w:rPr>
                <w:rFonts w:asciiTheme="majorHAnsi" w:hAnsiTheme="majorHAnsi" w:cstheme="majorHAnsi"/>
                <w:sz w:val="14"/>
                <w:szCs w:val="16"/>
                <w:lang w:val="en-GB"/>
              </w:rPr>
            </w:pPr>
            <w:r w:rsidRPr="00A42B3C">
              <w:rPr>
                <w:rFonts w:asciiTheme="majorHAnsi" w:hAnsiTheme="majorHAnsi" w:cstheme="majorHAnsi"/>
                <w:sz w:val="14"/>
                <w:szCs w:val="16"/>
                <w:lang w:val="en-GB"/>
              </w:rPr>
              <w:t>Narrow the scope/eligibility of Art. 6a assets</w:t>
            </w:r>
          </w:p>
        </w:tc>
        <w:tc>
          <w:tcPr>
            <w:tcW w:w="1843" w:type="dxa"/>
            <w:shd w:val="clear" w:color="auto" w:fill="auto"/>
            <w:vAlign w:val="center"/>
          </w:tcPr>
          <w:p w:rsidR="0010242A" w:rsidRPr="00A42B3C" w:rsidRDefault="0010242A"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As soon as the cover asset is not collateralised any more, a correlation with the public sector shall be required</w:t>
            </w:r>
          </w:p>
        </w:tc>
        <w:tc>
          <w:tcPr>
            <w:tcW w:w="1134" w:type="dxa"/>
            <w:shd w:val="clear" w:color="auto" w:fill="auto"/>
            <w:vAlign w:val="center"/>
          </w:tcPr>
          <w:p w:rsidR="0010242A" w:rsidRPr="00A42B3C" w:rsidRDefault="0010242A"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High</w:t>
            </w:r>
          </w:p>
        </w:tc>
        <w:tc>
          <w:tcPr>
            <w:tcW w:w="2693" w:type="dxa"/>
            <w:shd w:val="clear" w:color="auto" w:fill="auto"/>
            <w:vAlign w:val="center"/>
          </w:tcPr>
          <w:p w:rsidR="0010242A" w:rsidRPr="00A42B3C" w:rsidRDefault="0010242A" w:rsidP="000B7E74">
            <w:pPr>
              <w:jc w:val="both"/>
              <w:rPr>
                <w:rFonts w:asciiTheme="majorHAnsi" w:eastAsia="Times New Roman" w:hAnsiTheme="majorHAnsi" w:cstheme="majorHAnsi"/>
                <w:color w:val="000000"/>
                <w:sz w:val="14"/>
                <w:szCs w:val="16"/>
                <w:lang w:val="en-GB" w:eastAsia="en-GB"/>
              </w:rPr>
            </w:pPr>
            <w:r w:rsidRPr="00A42B3C">
              <w:rPr>
                <w:rFonts w:asciiTheme="majorHAnsi" w:hAnsiTheme="majorHAnsi" w:cstheme="majorHAnsi"/>
                <w:sz w:val="14"/>
                <w:szCs w:val="16"/>
                <w:lang w:val="en-GB"/>
              </w:rPr>
              <w:t>(b) for assets in the form of exposures to public undertakings, the counterparty's safety and soundness is inferred from its tax-raising powers or from being subject to either public supervision or a rating by a nominated ECAI.</w:t>
            </w:r>
          </w:p>
        </w:tc>
        <w:tc>
          <w:tcPr>
            <w:tcW w:w="709" w:type="dxa"/>
            <w:vAlign w:val="center"/>
          </w:tcPr>
          <w:p w:rsidR="0010242A" w:rsidRPr="00A42B3C" w:rsidRDefault="0010242A" w:rsidP="0010242A">
            <w:pPr>
              <w:jc w:val="center"/>
              <w:rPr>
                <w:rFonts w:asciiTheme="majorHAnsi" w:hAnsiTheme="majorHAnsi" w:cstheme="majorHAnsi"/>
                <w:sz w:val="14"/>
                <w:szCs w:val="16"/>
                <w:lang w:val="en-GB"/>
              </w:rPr>
            </w:pPr>
            <w:r w:rsidRPr="00A42B3C">
              <w:rPr>
                <w:rFonts w:asciiTheme="majorHAnsi" w:hAnsiTheme="majorHAnsi" w:cstheme="majorHAnsi"/>
                <w:sz w:val="14"/>
                <w:szCs w:val="16"/>
                <w:lang w:val="en-GB"/>
              </w:rPr>
              <w:t>EU</w:t>
            </w:r>
          </w:p>
        </w:tc>
      </w:tr>
      <w:tr w:rsidR="0010242A" w:rsidRPr="00A42B3C" w:rsidTr="0010242A">
        <w:trPr>
          <w:trHeight w:val="475"/>
        </w:trPr>
        <w:tc>
          <w:tcPr>
            <w:tcW w:w="846" w:type="dxa"/>
            <w:vAlign w:val="center"/>
          </w:tcPr>
          <w:p w:rsidR="0010242A" w:rsidRPr="00A42B3C" w:rsidRDefault="0010242A" w:rsidP="0010242A">
            <w:pPr>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2</w:t>
            </w:r>
          </w:p>
        </w:tc>
        <w:tc>
          <w:tcPr>
            <w:tcW w:w="850" w:type="dxa"/>
            <w:shd w:val="clear" w:color="auto" w:fill="auto"/>
            <w:vAlign w:val="center"/>
          </w:tcPr>
          <w:p w:rsidR="0010242A" w:rsidRPr="00A42B3C" w:rsidRDefault="0010242A"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Art. 6a par. 4 (d) + (e) of the Directive</w:t>
            </w:r>
          </w:p>
        </w:tc>
        <w:tc>
          <w:tcPr>
            <w:tcW w:w="3969" w:type="dxa"/>
            <w:shd w:val="clear" w:color="auto" w:fill="auto"/>
            <w:vAlign w:val="center"/>
          </w:tcPr>
          <w:p w:rsidR="0010242A" w:rsidRPr="00A42B3C" w:rsidRDefault="0010242A"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 xml:space="preserve">(d) The cover pool assets shall be sufficiently granular to enable risk diversification. For the purposes of this point, sufficient granularity shall mean that the cover pool contains at least 500 counterparties exposures, loans or other types of claims all of which shall have some degree of idiosyncratic risk.   </w:t>
            </w:r>
          </w:p>
          <w:p w:rsidR="0010242A" w:rsidRPr="00A42B3C" w:rsidRDefault="0010242A" w:rsidP="000B7E74">
            <w:pPr>
              <w:jc w:val="both"/>
              <w:rPr>
                <w:rFonts w:asciiTheme="majorHAnsi" w:eastAsia="Times New Roman" w:hAnsiTheme="majorHAnsi" w:cstheme="majorHAnsi"/>
                <w:color w:val="000000"/>
                <w:sz w:val="14"/>
                <w:szCs w:val="16"/>
                <w:lang w:val="en-GB" w:eastAsia="en-GB"/>
              </w:rPr>
            </w:pPr>
          </w:p>
          <w:p w:rsidR="0010242A" w:rsidRPr="00A42B3C" w:rsidRDefault="0010242A"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(e) The cover pool shall be free of material concentration. For the purposes of this point, material concentration shall mean that aggregate exposure to a single obligor exceeds 2% of the nominal cover pool value.</w:t>
            </w:r>
          </w:p>
        </w:tc>
        <w:tc>
          <w:tcPr>
            <w:tcW w:w="2552" w:type="dxa"/>
            <w:shd w:val="clear" w:color="auto" w:fill="auto"/>
            <w:vAlign w:val="center"/>
          </w:tcPr>
          <w:p w:rsidR="0010242A" w:rsidRPr="00A42B3C" w:rsidRDefault="0010242A"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Deletion of granularity of 500 exposures &amp; material concentration of &lt; 2%</w:t>
            </w:r>
          </w:p>
        </w:tc>
        <w:tc>
          <w:tcPr>
            <w:tcW w:w="1843" w:type="dxa"/>
            <w:shd w:val="clear" w:color="auto" w:fill="auto"/>
            <w:vAlign w:val="center"/>
          </w:tcPr>
          <w:p w:rsidR="0010242A" w:rsidRPr="00A42B3C" w:rsidRDefault="0010242A"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Granularity and concentration criteria appear inappropriate</w:t>
            </w:r>
          </w:p>
        </w:tc>
        <w:tc>
          <w:tcPr>
            <w:tcW w:w="1134" w:type="dxa"/>
            <w:shd w:val="clear" w:color="auto" w:fill="auto"/>
            <w:vAlign w:val="center"/>
          </w:tcPr>
          <w:p w:rsidR="0010242A" w:rsidRPr="00A42B3C" w:rsidRDefault="0010242A"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High</w:t>
            </w:r>
          </w:p>
        </w:tc>
        <w:tc>
          <w:tcPr>
            <w:tcW w:w="2693" w:type="dxa"/>
            <w:shd w:val="clear" w:color="auto" w:fill="auto"/>
            <w:vAlign w:val="center"/>
          </w:tcPr>
          <w:p w:rsidR="0010242A" w:rsidRPr="00A42B3C" w:rsidRDefault="0010242A" w:rsidP="000B7E74">
            <w:pPr>
              <w:jc w:val="both"/>
              <w:rPr>
                <w:rFonts w:asciiTheme="majorHAnsi" w:eastAsia="Times New Roman" w:hAnsiTheme="majorHAnsi" w:cstheme="majorHAnsi"/>
                <w:color w:val="000000"/>
                <w:sz w:val="14"/>
                <w:szCs w:val="16"/>
                <w:lang w:val="en-GB" w:eastAsia="en-GB"/>
              </w:rPr>
            </w:pPr>
            <w:r w:rsidRPr="00A42B3C">
              <w:rPr>
                <w:rFonts w:asciiTheme="majorHAnsi" w:hAnsiTheme="majorHAnsi" w:cstheme="majorHAnsi"/>
                <w:sz w:val="14"/>
                <w:szCs w:val="16"/>
                <w:lang w:val="en-GB"/>
              </w:rPr>
              <w:t>Deletion</w:t>
            </w:r>
          </w:p>
        </w:tc>
        <w:tc>
          <w:tcPr>
            <w:tcW w:w="709" w:type="dxa"/>
            <w:vAlign w:val="center"/>
          </w:tcPr>
          <w:p w:rsidR="0010242A" w:rsidRPr="00A42B3C" w:rsidRDefault="0010242A" w:rsidP="0010242A">
            <w:pPr>
              <w:jc w:val="center"/>
              <w:rPr>
                <w:rFonts w:asciiTheme="majorHAnsi" w:hAnsiTheme="majorHAnsi" w:cstheme="majorHAnsi"/>
                <w:sz w:val="14"/>
                <w:szCs w:val="16"/>
                <w:lang w:val="en-GB"/>
              </w:rPr>
            </w:pPr>
            <w:r w:rsidRPr="00A42B3C">
              <w:rPr>
                <w:rFonts w:asciiTheme="majorHAnsi" w:hAnsiTheme="majorHAnsi" w:cstheme="majorHAnsi"/>
                <w:sz w:val="14"/>
                <w:szCs w:val="16"/>
                <w:lang w:val="en-GB"/>
              </w:rPr>
              <w:t>EU</w:t>
            </w:r>
          </w:p>
        </w:tc>
      </w:tr>
      <w:tr w:rsidR="0010242A" w:rsidRPr="00A42B3C" w:rsidTr="0010242A">
        <w:trPr>
          <w:trHeight w:val="475"/>
        </w:trPr>
        <w:tc>
          <w:tcPr>
            <w:tcW w:w="846" w:type="dxa"/>
            <w:vAlign w:val="center"/>
          </w:tcPr>
          <w:p w:rsidR="0010242A" w:rsidRPr="00A42B3C" w:rsidRDefault="0010242A" w:rsidP="0010242A">
            <w:pPr>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3</w:t>
            </w:r>
          </w:p>
        </w:tc>
        <w:tc>
          <w:tcPr>
            <w:tcW w:w="850" w:type="dxa"/>
            <w:shd w:val="clear" w:color="auto" w:fill="auto"/>
            <w:vAlign w:val="center"/>
          </w:tcPr>
          <w:p w:rsidR="0010242A" w:rsidRPr="00A42B3C" w:rsidRDefault="0010242A" w:rsidP="000B7E74">
            <w:pPr>
              <w:jc w:val="both"/>
              <w:rPr>
                <w:rFonts w:asciiTheme="majorHAnsi" w:eastAsia="Times New Roman" w:hAnsiTheme="majorHAnsi" w:cstheme="majorHAnsi"/>
                <w:color w:val="000000"/>
                <w:sz w:val="14"/>
                <w:szCs w:val="16"/>
                <w:lang w:val="en-GB" w:eastAsia="en-GB"/>
              </w:rPr>
            </w:pPr>
            <w:r w:rsidRPr="00A42B3C">
              <w:rPr>
                <w:rFonts w:asciiTheme="majorHAnsi" w:hAnsiTheme="majorHAnsi" w:cstheme="majorHAnsi"/>
                <w:sz w:val="14"/>
                <w:szCs w:val="16"/>
                <w:lang w:val="en-GB"/>
              </w:rPr>
              <w:t>Art. 129 par. 1 third subparagraph of the Regulation</w:t>
            </w:r>
          </w:p>
        </w:tc>
        <w:tc>
          <w:tcPr>
            <w:tcW w:w="3969" w:type="dxa"/>
            <w:shd w:val="clear" w:color="auto" w:fill="auto"/>
            <w:vAlign w:val="center"/>
          </w:tcPr>
          <w:p w:rsidR="0010242A" w:rsidRPr="00A42B3C" w:rsidRDefault="0010242A"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If significant concentration problems in some Member States can be documented due to the application of the credit quality step 1 requirement referred to in point (c) of the first subparagraph, EBA may, for all credit institutions concerned and for a period of at most three years, waive the application of this subparagraph and allow credit quality step 2 exposures for up to 10% of the total exposure of the nominal amount of outstanding covered bonds of the issuing institution. EBA may repeal this decision any time, provided it grants credit institutions an adequate transition period</w:t>
            </w:r>
          </w:p>
        </w:tc>
        <w:tc>
          <w:tcPr>
            <w:tcW w:w="2552" w:type="dxa"/>
            <w:shd w:val="clear" w:color="auto" w:fill="auto"/>
            <w:vAlign w:val="center"/>
          </w:tcPr>
          <w:p w:rsidR="0010242A" w:rsidRPr="00A42B3C" w:rsidRDefault="0010242A" w:rsidP="000B7E74">
            <w:pPr>
              <w:jc w:val="both"/>
              <w:rPr>
                <w:rFonts w:asciiTheme="majorHAnsi" w:eastAsia="Times New Roman" w:hAnsiTheme="majorHAnsi" w:cstheme="majorHAnsi"/>
                <w:color w:val="000000"/>
                <w:sz w:val="14"/>
                <w:szCs w:val="16"/>
                <w:lang w:val="en-GB" w:eastAsia="en-GB"/>
              </w:rPr>
            </w:pPr>
            <w:r w:rsidRPr="00A42B3C">
              <w:rPr>
                <w:rFonts w:asciiTheme="majorHAnsi" w:hAnsiTheme="majorHAnsi" w:cstheme="majorHAnsi"/>
                <w:sz w:val="14"/>
                <w:szCs w:val="16"/>
                <w:lang w:val="en-GB"/>
              </w:rPr>
              <w:t>Extension of exposures to institutions from credit quality step 1 to credit quality step 2 institutions and confirmation that derivative exposures are not imputed to the exposure limits for credit institutions</w:t>
            </w:r>
          </w:p>
        </w:tc>
        <w:tc>
          <w:tcPr>
            <w:tcW w:w="1843" w:type="dxa"/>
            <w:shd w:val="clear" w:color="auto" w:fill="auto"/>
            <w:vAlign w:val="center"/>
          </w:tcPr>
          <w:p w:rsidR="0010242A" w:rsidRPr="00A42B3C" w:rsidRDefault="0010242A"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Rareness of credit quality step 1 institutions &amp; different purpose of derivative transactions securing cover assets</w:t>
            </w:r>
          </w:p>
        </w:tc>
        <w:tc>
          <w:tcPr>
            <w:tcW w:w="1134" w:type="dxa"/>
            <w:shd w:val="clear" w:color="auto" w:fill="auto"/>
            <w:vAlign w:val="center"/>
          </w:tcPr>
          <w:p w:rsidR="0010242A" w:rsidRPr="00A42B3C" w:rsidRDefault="0010242A"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High</w:t>
            </w:r>
          </w:p>
        </w:tc>
        <w:tc>
          <w:tcPr>
            <w:tcW w:w="2693" w:type="dxa"/>
            <w:shd w:val="clear" w:color="auto" w:fill="auto"/>
            <w:vAlign w:val="center"/>
          </w:tcPr>
          <w:p w:rsidR="0010242A" w:rsidRPr="00A42B3C" w:rsidRDefault="0010242A" w:rsidP="000B7E74">
            <w:pPr>
              <w:jc w:val="both"/>
              <w:rPr>
                <w:rFonts w:asciiTheme="majorHAnsi" w:hAnsiTheme="majorHAnsi" w:cstheme="majorHAnsi"/>
                <w:sz w:val="14"/>
                <w:szCs w:val="16"/>
                <w:lang w:val="en-GB"/>
              </w:rPr>
            </w:pPr>
            <w:r w:rsidRPr="00A42B3C">
              <w:rPr>
                <w:rFonts w:asciiTheme="majorHAnsi" w:hAnsiTheme="majorHAnsi" w:cstheme="majorHAnsi"/>
                <w:sz w:val="14"/>
                <w:szCs w:val="16"/>
                <w:lang w:val="en-GB"/>
              </w:rPr>
              <w:t>Re-establishment of the COM draft proposal, complemented by: Claims under derivative transactions with credit institutions that qualify for credit quality step 1 or 2 shall not be comprised in calculating the limits referred to paragraph 1(c) if they are complying with the requirements of Article 11 of Directive (EU) 20xx/xxxx of the European Parliament and of the Council*[OP: Please insert reference to Directive (EU) on the issue of covered bonds and covered bond public supervision and amending Directive 2009/65/EC and Directive 2014/59/EU].</w:t>
            </w:r>
          </w:p>
        </w:tc>
        <w:tc>
          <w:tcPr>
            <w:tcW w:w="709" w:type="dxa"/>
            <w:vAlign w:val="center"/>
          </w:tcPr>
          <w:p w:rsidR="0010242A" w:rsidRPr="00A42B3C" w:rsidRDefault="0010242A" w:rsidP="0010242A">
            <w:pPr>
              <w:jc w:val="center"/>
              <w:rPr>
                <w:rFonts w:asciiTheme="majorHAnsi" w:hAnsiTheme="majorHAnsi" w:cstheme="majorHAnsi"/>
                <w:sz w:val="14"/>
                <w:szCs w:val="16"/>
                <w:lang w:val="en-GB"/>
              </w:rPr>
            </w:pPr>
            <w:r w:rsidRPr="00A42B3C">
              <w:rPr>
                <w:rFonts w:asciiTheme="majorHAnsi" w:hAnsiTheme="majorHAnsi" w:cstheme="majorHAnsi"/>
                <w:sz w:val="14"/>
                <w:szCs w:val="16"/>
                <w:lang w:val="en-GB"/>
              </w:rPr>
              <w:t>EU</w:t>
            </w:r>
          </w:p>
        </w:tc>
      </w:tr>
      <w:tr w:rsidR="0010242A" w:rsidRPr="00A42B3C" w:rsidTr="0010242A">
        <w:trPr>
          <w:trHeight w:val="475"/>
        </w:trPr>
        <w:tc>
          <w:tcPr>
            <w:tcW w:w="846" w:type="dxa"/>
            <w:vAlign w:val="center"/>
          </w:tcPr>
          <w:p w:rsidR="0010242A" w:rsidRPr="00A42B3C" w:rsidRDefault="0010242A" w:rsidP="0010242A">
            <w:pPr>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4</w:t>
            </w:r>
          </w:p>
        </w:tc>
        <w:tc>
          <w:tcPr>
            <w:tcW w:w="850" w:type="dxa"/>
            <w:shd w:val="clear" w:color="auto" w:fill="auto"/>
            <w:vAlign w:val="center"/>
          </w:tcPr>
          <w:p w:rsidR="0010242A" w:rsidRPr="00A42B3C" w:rsidRDefault="0010242A" w:rsidP="000B7E74">
            <w:pPr>
              <w:jc w:val="both"/>
              <w:rPr>
                <w:rFonts w:asciiTheme="majorHAnsi" w:eastAsia="Times New Roman" w:hAnsiTheme="majorHAnsi" w:cstheme="majorHAnsi"/>
                <w:color w:val="000000"/>
                <w:sz w:val="14"/>
                <w:szCs w:val="16"/>
                <w:lang w:val="en-GB" w:eastAsia="en-GB"/>
              </w:rPr>
            </w:pPr>
            <w:r w:rsidRPr="00A42B3C">
              <w:rPr>
                <w:rFonts w:asciiTheme="majorHAnsi" w:hAnsiTheme="majorHAnsi" w:cstheme="majorHAnsi"/>
                <w:sz w:val="14"/>
                <w:szCs w:val="16"/>
                <w:lang w:val="en-GB"/>
              </w:rPr>
              <w:t>Art. 7 par. 2 of the Directive (Assets located outside of the Union)</w:t>
            </w:r>
          </w:p>
        </w:tc>
        <w:tc>
          <w:tcPr>
            <w:tcW w:w="3969" w:type="dxa"/>
            <w:shd w:val="clear" w:color="auto" w:fill="auto"/>
            <w:vAlign w:val="center"/>
          </w:tcPr>
          <w:p w:rsidR="0010242A" w:rsidRPr="00A42B3C" w:rsidRDefault="0010242A"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Where Member States allow for the inclusion referred to in paragraph 1, they shall ensure investor protection by verifying whether the assets located outside of the Union meet all the requirements set out in Article 6 and that the realisation of such assets is legally enforceable in a way similar to assets located within the Union.</w:t>
            </w:r>
          </w:p>
        </w:tc>
        <w:tc>
          <w:tcPr>
            <w:tcW w:w="2552" w:type="dxa"/>
            <w:shd w:val="clear" w:color="auto" w:fill="auto"/>
            <w:vAlign w:val="center"/>
          </w:tcPr>
          <w:p w:rsidR="0010242A" w:rsidRPr="00A42B3C" w:rsidRDefault="0010242A" w:rsidP="000B7E74">
            <w:pPr>
              <w:jc w:val="both"/>
              <w:rPr>
                <w:rFonts w:asciiTheme="majorHAnsi" w:eastAsia="Times New Roman" w:hAnsiTheme="majorHAnsi" w:cstheme="majorHAnsi"/>
                <w:color w:val="000000"/>
                <w:sz w:val="14"/>
                <w:szCs w:val="16"/>
                <w:lang w:val="en-GB" w:eastAsia="en-GB"/>
              </w:rPr>
            </w:pPr>
            <w:r w:rsidRPr="00A42B3C">
              <w:rPr>
                <w:rFonts w:asciiTheme="majorHAnsi" w:hAnsiTheme="majorHAnsi" w:cstheme="majorHAnsi"/>
                <w:sz w:val="14"/>
                <w:szCs w:val="16"/>
                <w:lang w:val="en-GB"/>
              </w:rPr>
              <w:t>Clarification that the comparability of non-EU collateral refers to its security profile and not to the recognition of the bankruptcy privilege</w:t>
            </w:r>
          </w:p>
        </w:tc>
        <w:tc>
          <w:tcPr>
            <w:tcW w:w="1843" w:type="dxa"/>
            <w:shd w:val="clear" w:color="auto" w:fill="auto"/>
            <w:vAlign w:val="center"/>
          </w:tcPr>
          <w:p w:rsidR="0010242A" w:rsidRPr="00A42B3C" w:rsidRDefault="0010242A"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Clarification of the scope of Art. 7 of the Directive</w:t>
            </w:r>
          </w:p>
        </w:tc>
        <w:tc>
          <w:tcPr>
            <w:tcW w:w="1134" w:type="dxa"/>
            <w:shd w:val="clear" w:color="auto" w:fill="auto"/>
            <w:vAlign w:val="center"/>
          </w:tcPr>
          <w:p w:rsidR="0010242A" w:rsidRPr="00A42B3C" w:rsidRDefault="0010242A"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High</w:t>
            </w:r>
          </w:p>
        </w:tc>
        <w:tc>
          <w:tcPr>
            <w:tcW w:w="2693" w:type="dxa"/>
            <w:shd w:val="clear" w:color="auto" w:fill="auto"/>
            <w:vAlign w:val="center"/>
          </w:tcPr>
          <w:p w:rsidR="0010242A" w:rsidRPr="00A42B3C" w:rsidRDefault="0010242A" w:rsidP="000B7E74">
            <w:pPr>
              <w:jc w:val="both"/>
              <w:rPr>
                <w:rFonts w:asciiTheme="majorHAnsi" w:hAnsiTheme="majorHAnsi" w:cstheme="majorHAnsi"/>
                <w:sz w:val="14"/>
                <w:szCs w:val="16"/>
                <w:lang w:val="en-GB"/>
              </w:rPr>
            </w:pPr>
            <w:r w:rsidRPr="00A42B3C">
              <w:rPr>
                <w:rFonts w:asciiTheme="majorHAnsi" w:hAnsiTheme="majorHAnsi" w:cstheme="majorHAnsi"/>
                <w:sz w:val="14"/>
                <w:szCs w:val="16"/>
                <w:lang w:val="en-GB"/>
              </w:rPr>
              <w:t>Where Member States allow for the inclusion referred to in paragraph 1, they shall ensure investor protection by verifying whether the assets located outside of the Union meet all the requirements set out in Article 6. The collateral defined under Article 3 (18) shall offer comparable security in a way similar to collateral located within the Union</w:t>
            </w:r>
          </w:p>
        </w:tc>
        <w:tc>
          <w:tcPr>
            <w:tcW w:w="709" w:type="dxa"/>
            <w:vAlign w:val="center"/>
          </w:tcPr>
          <w:p w:rsidR="0010242A" w:rsidRPr="00A42B3C" w:rsidRDefault="006440C5" w:rsidP="0010242A">
            <w:pPr>
              <w:jc w:val="center"/>
              <w:rPr>
                <w:rFonts w:asciiTheme="majorHAnsi" w:hAnsiTheme="majorHAnsi" w:cstheme="majorHAnsi"/>
                <w:sz w:val="14"/>
                <w:szCs w:val="16"/>
                <w:lang w:val="en-GB"/>
              </w:rPr>
            </w:pPr>
            <w:r w:rsidRPr="00A42B3C">
              <w:rPr>
                <w:rFonts w:asciiTheme="majorHAnsi" w:hAnsiTheme="majorHAnsi" w:cstheme="majorHAnsi"/>
                <w:sz w:val="14"/>
                <w:szCs w:val="16"/>
                <w:lang w:val="en-GB"/>
              </w:rPr>
              <w:t>EU</w:t>
            </w:r>
          </w:p>
        </w:tc>
      </w:tr>
      <w:bookmarkEnd w:id="9"/>
    </w:tbl>
    <w:p w:rsidR="000A0E95" w:rsidRPr="00A42B3C" w:rsidRDefault="000A0E95" w:rsidP="000A0E95">
      <w:pPr>
        <w:jc w:val="both"/>
        <w:rPr>
          <w:rFonts w:asciiTheme="majorHAnsi" w:hAnsiTheme="majorHAnsi" w:cstheme="majorHAnsi"/>
          <w:sz w:val="14"/>
          <w:szCs w:val="14"/>
          <w:lang w:val="en-GB"/>
        </w:rPr>
      </w:pPr>
    </w:p>
    <w:p w:rsidR="00524162" w:rsidRPr="00A42B3C" w:rsidRDefault="00745851" w:rsidP="00524162">
      <w:pPr>
        <w:rPr>
          <w:rFonts w:asciiTheme="majorHAnsi" w:hAnsiTheme="majorHAnsi" w:cstheme="majorHAnsi"/>
          <w:i/>
          <w:sz w:val="20"/>
          <w:szCs w:val="16"/>
          <w:lang w:val="en-GB"/>
        </w:rPr>
      </w:pPr>
      <w:r w:rsidRPr="00A42B3C">
        <w:rPr>
          <w:rFonts w:asciiTheme="majorHAnsi" w:hAnsiTheme="majorHAnsi" w:cstheme="majorHAnsi"/>
          <w:i/>
          <w:sz w:val="20"/>
          <w:szCs w:val="16"/>
          <w:lang w:val="en-GB"/>
        </w:rPr>
        <w:t xml:space="preserve">Source: </w:t>
      </w:r>
      <w:r w:rsidR="0061494B" w:rsidRPr="00A42B3C">
        <w:rPr>
          <w:rFonts w:asciiTheme="majorHAnsi" w:hAnsiTheme="majorHAnsi" w:cstheme="majorHAnsi"/>
          <w:i/>
          <w:sz w:val="20"/>
          <w:szCs w:val="16"/>
          <w:lang w:val="en-GB"/>
        </w:rPr>
        <w:t>vdp</w:t>
      </w:r>
      <w:bookmarkStart w:id="10" w:name="_Ireland"/>
      <w:bookmarkEnd w:id="10"/>
    </w:p>
    <w:p w:rsidR="006A4A08" w:rsidRPr="00A42B3C" w:rsidRDefault="006A4A08" w:rsidP="006A4A08">
      <w:pPr>
        <w:pStyle w:val="Heading1"/>
      </w:pPr>
      <w:bookmarkStart w:id="11" w:name="_Italy"/>
      <w:bookmarkStart w:id="12" w:name="_Italy_-_TBC"/>
      <w:bookmarkStart w:id="13" w:name="_Hungary"/>
      <w:bookmarkStart w:id="14" w:name="_Greece"/>
      <w:bookmarkEnd w:id="11"/>
      <w:bookmarkEnd w:id="12"/>
      <w:bookmarkEnd w:id="13"/>
      <w:bookmarkEnd w:id="14"/>
      <w:r>
        <w:br w:type="column"/>
      </w:r>
      <w:r>
        <w:lastRenderedPageBreak/>
        <w:t>Greece</w:t>
      </w:r>
    </w:p>
    <w:p w:rsidR="006A4A08" w:rsidRPr="00A42B3C" w:rsidRDefault="006A4A08" w:rsidP="006A4A08">
      <w:pPr>
        <w:jc w:val="both"/>
        <w:rPr>
          <w:rFonts w:asciiTheme="majorHAnsi" w:hAnsiTheme="majorHAnsi" w:cstheme="majorHAnsi"/>
          <w:sz w:val="16"/>
          <w:szCs w:val="16"/>
          <w:lang w:val="en-GB"/>
        </w:rPr>
      </w:pPr>
    </w:p>
    <w:tbl>
      <w:tblPr>
        <w:tblpPr w:leftFromText="180" w:rightFromText="180" w:vertAnchor="text" w:horzAnchor="margin" w:tblpY="80"/>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92"/>
        <w:gridCol w:w="2694"/>
        <w:gridCol w:w="1275"/>
        <w:gridCol w:w="6379"/>
        <w:gridCol w:w="992"/>
        <w:gridCol w:w="851"/>
        <w:gridCol w:w="709"/>
      </w:tblGrid>
      <w:tr w:rsidR="006A4A08" w:rsidRPr="006A4A08" w:rsidTr="006A4A08">
        <w:trPr>
          <w:trHeight w:val="475"/>
        </w:trPr>
        <w:tc>
          <w:tcPr>
            <w:tcW w:w="704" w:type="dxa"/>
            <w:shd w:val="clear" w:color="auto" w:fill="DE821B"/>
            <w:vAlign w:val="center"/>
          </w:tcPr>
          <w:p w:rsidR="006A4A08" w:rsidRPr="006A4A08" w:rsidRDefault="006A4A08" w:rsidP="001835C0">
            <w:pPr>
              <w:jc w:val="center"/>
              <w:rPr>
                <w:rFonts w:ascii="Calibri" w:eastAsia="Times New Roman" w:hAnsi="Calibri" w:cs="Calibri"/>
                <w:b/>
                <w:color w:val="FFFFFF" w:themeColor="background1"/>
                <w:sz w:val="14"/>
                <w:szCs w:val="14"/>
                <w:lang w:val="en-GB" w:eastAsia="en-GB"/>
              </w:rPr>
            </w:pPr>
            <w:r w:rsidRPr="006A4A08">
              <w:rPr>
                <w:rFonts w:ascii="Calibri" w:eastAsia="Times New Roman" w:hAnsi="Calibri" w:cs="Calibri"/>
                <w:b/>
                <w:color w:val="FFFFFF" w:themeColor="background1"/>
                <w:sz w:val="14"/>
                <w:szCs w:val="14"/>
                <w:lang w:val="en-GB" w:eastAsia="en-GB"/>
              </w:rPr>
              <w:t>Ranking of priority</w:t>
            </w:r>
          </w:p>
        </w:tc>
        <w:tc>
          <w:tcPr>
            <w:tcW w:w="992" w:type="dxa"/>
            <w:shd w:val="clear" w:color="auto" w:fill="DE821B"/>
            <w:vAlign w:val="center"/>
            <w:hideMark/>
          </w:tcPr>
          <w:p w:rsidR="006A4A08" w:rsidRPr="006A4A08" w:rsidRDefault="006A4A08" w:rsidP="001835C0">
            <w:pPr>
              <w:jc w:val="center"/>
              <w:rPr>
                <w:rFonts w:ascii="Calibri" w:eastAsia="Times New Roman" w:hAnsi="Calibri" w:cs="Calibri"/>
                <w:b/>
                <w:color w:val="FFFFFF" w:themeColor="background1"/>
                <w:sz w:val="14"/>
                <w:szCs w:val="14"/>
                <w:lang w:val="en-GB" w:eastAsia="en-GB"/>
              </w:rPr>
            </w:pPr>
            <w:r w:rsidRPr="006A4A08">
              <w:rPr>
                <w:rFonts w:ascii="Calibri" w:eastAsia="Times New Roman" w:hAnsi="Calibri" w:cs="Calibri"/>
                <w:b/>
                <w:color w:val="FFFFFF" w:themeColor="background1"/>
                <w:sz w:val="14"/>
                <w:szCs w:val="14"/>
                <w:lang w:val="en-GB" w:eastAsia="en-GB"/>
              </w:rPr>
              <w:t>Location</w:t>
            </w:r>
          </w:p>
        </w:tc>
        <w:tc>
          <w:tcPr>
            <w:tcW w:w="2694" w:type="dxa"/>
            <w:shd w:val="clear" w:color="auto" w:fill="DE821B"/>
            <w:vAlign w:val="center"/>
            <w:hideMark/>
          </w:tcPr>
          <w:p w:rsidR="006A4A08" w:rsidRPr="006A4A08" w:rsidRDefault="006A4A08" w:rsidP="001835C0">
            <w:pPr>
              <w:jc w:val="center"/>
              <w:rPr>
                <w:rFonts w:ascii="Calibri" w:eastAsia="Times New Roman" w:hAnsi="Calibri" w:cs="Calibri"/>
                <w:b/>
                <w:color w:val="FFFFFF" w:themeColor="background1"/>
                <w:sz w:val="14"/>
                <w:szCs w:val="14"/>
                <w:lang w:val="en-GB" w:eastAsia="en-GB"/>
              </w:rPr>
            </w:pPr>
            <w:r w:rsidRPr="006A4A08">
              <w:rPr>
                <w:rFonts w:ascii="Calibri" w:eastAsia="Times New Roman" w:hAnsi="Calibri" w:cs="Calibri"/>
                <w:b/>
                <w:color w:val="FFFFFF" w:themeColor="background1"/>
                <w:sz w:val="14"/>
                <w:szCs w:val="14"/>
                <w:lang w:val="en-GB" w:eastAsia="en-GB"/>
              </w:rPr>
              <w:t>Precise passage concerned</w:t>
            </w:r>
          </w:p>
        </w:tc>
        <w:tc>
          <w:tcPr>
            <w:tcW w:w="1275" w:type="dxa"/>
            <w:shd w:val="clear" w:color="auto" w:fill="DE821B"/>
            <w:vAlign w:val="center"/>
            <w:hideMark/>
          </w:tcPr>
          <w:p w:rsidR="006A4A08" w:rsidRPr="006A4A08" w:rsidRDefault="006A4A08" w:rsidP="001835C0">
            <w:pPr>
              <w:jc w:val="center"/>
              <w:rPr>
                <w:rFonts w:ascii="Calibri" w:eastAsia="Times New Roman" w:hAnsi="Calibri" w:cs="Calibri"/>
                <w:b/>
                <w:color w:val="FFFFFF" w:themeColor="background1"/>
                <w:sz w:val="14"/>
                <w:szCs w:val="14"/>
                <w:lang w:val="en-GB" w:eastAsia="en-GB"/>
              </w:rPr>
            </w:pPr>
            <w:r w:rsidRPr="006A4A08">
              <w:rPr>
                <w:rFonts w:ascii="Calibri" w:eastAsia="Times New Roman" w:hAnsi="Calibri" w:cs="Calibri"/>
                <w:b/>
                <w:color w:val="FFFFFF" w:themeColor="background1"/>
                <w:sz w:val="14"/>
                <w:szCs w:val="14"/>
                <w:lang w:val="en-GB" w:eastAsia="en-GB"/>
              </w:rPr>
              <w:t>Description of the Issue</w:t>
            </w:r>
          </w:p>
        </w:tc>
        <w:tc>
          <w:tcPr>
            <w:tcW w:w="6379" w:type="dxa"/>
            <w:shd w:val="clear" w:color="auto" w:fill="DE821B"/>
            <w:vAlign w:val="center"/>
            <w:hideMark/>
          </w:tcPr>
          <w:p w:rsidR="006A4A08" w:rsidRPr="006A4A08" w:rsidRDefault="006A4A08" w:rsidP="001835C0">
            <w:pPr>
              <w:jc w:val="center"/>
              <w:rPr>
                <w:rFonts w:ascii="Calibri" w:eastAsia="Times New Roman" w:hAnsi="Calibri" w:cs="Calibri"/>
                <w:b/>
                <w:color w:val="FFFFFF" w:themeColor="background1"/>
                <w:sz w:val="14"/>
                <w:szCs w:val="14"/>
                <w:lang w:val="en-GB" w:eastAsia="en-GB"/>
              </w:rPr>
            </w:pPr>
            <w:r w:rsidRPr="006A4A08">
              <w:rPr>
                <w:rFonts w:ascii="Calibri" w:eastAsia="Times New Roman" w:hAnsi="Calibri" w:cs="Calibri"/>
                <w:b/>
                <w:color w:val="FFFFFF" w:themeColor="background1"/>
                <w:sz w:val="14"/>
                <w:szCs w:val="14"/>
                <w:lang w:val="en-GB" w:eastAsia="en-GB"/>
              </w:rPr>
              <w:t>Justification for potential amendment</w:t>
            </w:r>
          </w:p>
        </w:tc>
        <w:tc>
          <w:tcPr>
            <w:tcW w:w="992" w:type="dxa"/>
            <w:shd w:val="clear" w:color="auto" w:fill="DE821B"/>
            <w:vAlign w:val="center"/>
            <w:hideMark/>
          </w:tcPr>
          <w:p w:rsidR="006A4A08" w:rsidRPr="006A4A08" w:rsidRDefault="006A4A08" w:rsidP="001835C0">
            <w:pPr>
              <w:jc w:val="center"/>
              <w:rPr>
                <w:rFonts w:ascii="Calibri" w:eastAsia="Times New Roman" w:hAnsi="Calibri" w:cs="Calibri"/>
                <w:b/>
                <w:color w:val="FFFFFF" w:themeColor="background1"/>
                <w:sz w:val="14"/>
                <w:szCs w:val="14"/>
                <w:lang w:val="en-GB" w:eastAsia="en-GB"/>
              </w:rPr>
            </w:pPr>
            <w:r w:rsidRPr="006A4A08">
              <w:rPr>
                <w:rFonts w:ascii="Calibri" w:eastAsia="Times New Roman" w:hAnsi="Calibri" w:cs="Calibri"/>
                <w:b/>
                <w:color w:val="FFFFFF" w:themeColor="background1"/>
                <w:sz w:val="14"/>
                <w:szCs w:val="14"/>
                <w:lang w:val="en-GB" w:eastAsia="en-GB"/>
              </w:rPr>
              <w:t>Level of seriousness</w:t>
            </w:r>
          </w:p>
        </w:tc>
        <w:tc>
          <w:tcPr>
            <w:tcW w:w="851" w:type="dxa"/>
            <w:shd w:val="clear" w:color="auto" w:fill="DE821B"/>
            <w:vAlign w:val="center"/>
            <w:hideMark/>
          </w:tcPr>
          <w:p w:rsidR="006A4A08" w:rsidRPr="006A4A08" w:rsidRDefault="006A4A08" w:rsidP="001835C0">
            <w:pPr>
              <w:jc w:val="center"/>
              <w:rPr>
                <w:rFonts w:ascii="Calibri" w:eastAsia="Times New Roman" w:hAnsi="Calibri" w:cs="Calibri"/>
                <w:b/>
                <w:color w:val="FFFFFF" w:themeColor="background1"/>
                <w:sz w:val="14"/>
                <w:szCs w:val="14"/>
                <w:lang w:val="en-GB" w:eastAsia="en-GB"/>
              </w:rPr>
            </w:pPr>
            <w:r w:rsidRPr="006A4A08">
              <w:rPr>
                <w:rFonts w:ascii="Calibri" w:eastAsia="Times New Roman" w:hAnsi="Calibri" w:cs="Calibri"/>
                <w:b/>
                <w:color w:val="FFFFFF" w:themeColor="background1"/>
                <w:sz w:val="14"/>
                <w:szCs w:val="14"/>
                <w:lang w:val="en-GB" w:eastAsia="en-GB"/>
              </w:rPr>
              <w:t>Proposal for a wording update</w:t>
            </w:r>
          </w:p>
        </w:tc>
        <w:tc>
          <w:tcPr>
            <w:tcW w:w="709" w:type="dxa"/>
            <w:shd w:val="clear" w:color="auto" w:fill="DE821B"/>
            <w:vAlign w:val="center"/>
          </w:tcPr>
          <w:p w:rsidR="006A4A08" w:rsidRPr="006A4A08" w:rsidRDefault="006A4A08" w:rsidP="001835C0">
            <w:pPr>
              <w:jc w:val="center"/>
              <w:rPr>
                <w:rFonts w:ascii="Calibri" w:eastAsia="Times New Roman" w:hAnsi="Calibri" w:cs="Calibri"/>
                <w:b/>
                <w:color w:val="FFFFFF" w:themeColor="background1"/>
                <w:sz w:val="14"/>
                <w:szCs w:val="14"/>
                <w:lang w:val="en-GB" w:eastAsia="en-GB"/>
              </w:rPr>
            </w:pPr>
            <w:r w:rsidRPr="006A4A08">
              <w:rPr>
                <w:rFonts w:ascii="Calibri" w:eastAsia="Times New Roman" w:hAnsi="Calibri" w:cs="Calibri"/>
                <w:b/>
                <w:color w:val="FFFFFF" w:themeColor="background1"/>
                <w:sz w:val="14"/>
                <w:szCs w:val="14"/>
                <w:lang w:val="en-GB" w:eastAsia="en-GB"/>
              </w:rPr>
              <w:t>Scope</w:t>
            </w:r>
          </w:p>
        </w:tc>
      </w:tr>
      <w:tr w:rsidR="006A4A08" w:rsidRPr="006A4A08" w:rsidTr="006A4A08">
        <w:trPr>
          <w:trHeight w:val="475"/>
        </w:trPr>
        <w:tc>
          <w:tcPr>
            <w:tcW w:w="704" w:type="dxa"/>
            <w:vAlign w:val="center"/>
          </w:tcPr>
          <w:p w:rsidR="006A4A08" w:rsidRPr="006A4A08" w:rsidRDefault="006A4A08" w:rsidP="006A4A08">
            <w:pPr>
              <w:rPr>
                <w:rFonts w:ascii="Calibri" w:eastAsia="Times New Roman" w:hAnsi="Calibri" w:cs="Calibri"/>
                <w:color w:val="000000"/>
                <w:sz w:val="14"/>
                <w:szCs w:val="14"/>
                <w:lang w:val="en-GB" w:eastAsia="en-GB"/>
              </w:rPr>
            </w:pPr>
            <w:r w:rsidRPr="006A4A08">
              <w:rPr>
                <w:rFonts w:ascii="Calibri" w:eastAsia="Times New Roman" w:hAnsi="Calibri" w:cs="Calibri"/>
                <w:color w:val="000000"/>
                <w:sz w:val="14"/>
                <w:szCs w:val="14"/>
                <w:lang w:val="en-GB" w:eastAsia="en-GB"/>
              </w:rPr>
              <w:t>1</w:t>
            </w:r>
          </w:p>
        </w:tc>
        <w:tc>
          <w:tcPr>
            <w:tcW w:w="992" w:type="dxa"/>
            <w:shd w:val="clear" w:color="auto" w:fill="auto"/>
          </w:tcPr>
          <w:p w:rsidR="006A4A08" w:rsidRPr="006A4A08" w:rsidRDefault="006A4A08" w:rsidP="006A4A08">
            <w:pPr>
              <w:rPr>
                <w:rFonts w:ascii="Calibri" w:hAnsi="Calibri" w:cs="Calibri"/>
                <w:sz w:val="14"/>
                <w:szCs w:val="14"/>
                <w:lang w:val="en-GB"/>
              </w:rPr>
            </w:pPr>
            <w:r w:rsidRPr="006A4A08">
              <w:rPr>
                <w:rFonts w:ascii="Calibri" w:hAnsi="Calibri" w:cs="Calibri"/>
                <w:sz w:val="14"/>
                <w:szCs w:val="14"/>
                <w:lang w:val="en-GB"/>
              </w:rPr>
              <w:t>Regulation - Amendment 4</w:t>
            </w:r>
          </w:p>
        </w:tc>
        <w:tc>
          <w:tcPr>
            <w:tcW w:w="2694" w:type="dxa"/>
            <w:shd w:val="clear" w:color="auto" w:fill="auto"/>
          </w:tcPr>
          <w:p w:rsidR="006A4A08" w:rsidRPr="006A4A08" w:rsidRDefault="006A4A08" w:rsidP="006A4A08">
            <w:pPr>
              <w:jc w:val="both"/>
              <w:rPr>
                <w:rFonts w:ascii="Calibri" w:hAnsi="Calibri" w:cs="Calibri"/>
                <w:sz w:val="14"/>
                <w:szCs w:val="14"/>
                <w:lang w:val="en-GB"/>
              </w:rPr>
            </w:pPr>
            <w:r w:rsidRPr="006A4A08">
              <w:rPr>
                <w:rFonts w:ascii="Calibri" w:hAnsi="Calibri" w:cs="Calibri"/>
                <w:sz w:val="14"/>
                <w:szCs w:val="14"/>
                <w:lang w:val="en-GB"/>
              </w:rPr>
              <w:t>"Extendable maturities are a new development in the covered bond universe. They have not been taken into account when Article 129 of the CRR was devised. The possibility of maturity extensions makes covered bonds on the asset side of bank balances more risky - and less liquid in times of financial distress. This calls for increasing the risk weight. On the other hand, these bonds may be less risky if the maturity extension serves at preserving the value of cover pool assets by avoiding fire sales. This is an offsetting factor to the risk of reduced liquidity. For this reason, extendable maturities of one year or less should not be penalized with an increase in the risk factor. However, if asset prices have not recovered after a year, their reduced level may actually be persistent. Hence, covered bonds with maturity extensions of more than a year should be viewed as shifting risk from the issuer to the investor. Since this type of covered bond is of higher risk than a standard fixed maturity bond, an increased risk weight is warranted."</w:t>
            </w:r>
          </w:p>
        </w:tc>
        <w:tc>
          <w:tcPr>
            <w:tcW w:w="1275" w:type="dxa"/>
            <w:shd w:val="clear" w:color="auto" w:fill="auto"/>
          </w:tcPr>
          <w:p w:rsidR="006A4A08" w:rsidRPr="006A4A08" w:rsidRDefault="006A4A08" w:rsidP="006A4A08">
            <w:pPr>
              <w:rPr>
                <w:rFonts w:ascii="Calibri" w:hAnsi="Calibri" w:cs="Calibri"/>
                <w:sz w:val="14"/>
                <w:szCs w:val="14"/>
                <w:lang w:val="en-GB"/>
              </w:rPr>
            </w:pPr>
            <w:r w:rsidRPr="006A4A08">
              <w:rPr>
                <w:rFonts w:ascii="Calibri" w:hAnsi="Calibri" w:cs="Calibri"/>
                <w:sz w:val="14"/>
                <w:szCs w:val="14"/>
                <w:lang w:val="en-GB"/>
              </w:rPr>
              <w:t>The Rapporteur proposes to amend Article 129 CRR by a new paragraph 9, which gradually increases the risk weight for covered bonds whose maturity can be extended by more than a year.</w:t>
            </w:r>
          </w:p>
        </w:tc>
        <w:tc>
          <w:tcPr>
            <w:tcW w:w="6379" w:type="dxa"/>
            <w:shd w:val="clear" w:color="auto" w:fill="auto"/>
            <w:vAlign w:val="center"/>
          </w:tcPr>
          <w:p w:rsidR="006A4A08" w:rsidRPr="006A4A08" w:rsidRDefault="006A4A08" w:rsidP="006A4A08">
            <w:pPr>
              <w:jc w:val="both"/>
              <w:rPr>
                <w:rFonts w:ascii="Calibri" w:eastAsia="Times New Roman" w:hAnsi="Calibri" w:cs="Calibri"/>
                <w:color w:val="000000"/>
                <w:sz w:val="14"/>
                <w:szCs w:val="14"/>
                <w:lang w:val="en-GB" w:eastAsia="en-GB"/>
              </w:rPr>
            </w:pPr>
            <w:r w:rsidRPr="006A4A08">
              <w:rPr>
                <w:rFonts w:ascii="Calibri" w:eastAsia="Times New Roman" w:hAnsi="Calibri" w:cs="Calibri"/>
                <w:color w:val="000000"/>
                <w:sz w:val="14"/>
                <w:szCs w:val="14"/>
                <w:lang w:val="en-GB" w:eastAsia="en-GB"/>
              </w:rPr>
              <w:t>There is no market or other evidence to support the claim that covered bonds with extendable maturity features are riskier or less liquid in times of financial distress. On the contrary, these structures have been designed to avoid the risk of fire sales in times of financial distress. Furthermore,</w:t>
            </w:r>
            <w:r>
              <w:rPr>
                <w:rFonts w:ascii="Calibri" w:eastAsia="Times New Roman" w:hAnsi="Calibri" w:cs="Calibri"/>
                <w:color w:val="000000"/>
                <w:sz w:val="14"/>
                <w:szCs w:val="14"/>
                <w:lang w:val="en-GB" w:eastAsia="en-GB"/>
              </w:rPr>
              <w:t xml:space="preserve"> </w:t>
            </w:r>
            <w:r w:rsidRPr="006A4A08">
              <w:rPr>
                <w:rFonts w:ascii="Calibri" w:eastAsia="Times New Roman" w:hAnsi="Calibri" w:cs="Calibri"/>
                <w:color w:val="000000"/>
                <w:sz w:val="14"/>
                <w:szCs w:val="14"/>
                <w:lang w:val="en-GB" w:eastAsia="en-GB"/>
              </w:rPr>
              <w:t>in jurisdictions where covered bonds have not traditionally been a funding tool, like Greece, extendable maturity structures were the means for banking institutions to re-gain access to the capital markets, as they provide clarity on the treatment of the covered bonds following a default of the issuer.</w:t>
            </w:r>
          </w:p>
          <w:p w:rsidR="006A4A08" w:rsidRPr="006A4A08" w:rsidRDefault="006A4A08" w:rsidP="006A4A08">
            <w:pPr>
              <w:jc w:val="both"/>
              <w:rPr>
                <w:rFonts w:ascii="Calibri" w:eastAsia="Times New Roman" w:hAnsi="Calibri" w:cs="Calibri"/>
                <w:color w:val="000000"/>
                <w:sz w:val="14"/>
                <w:szCs w:val="14"/>
                <w:lang w:val="en-GB" w:eastAsia="en-GB"/>
              </w:rPr>
            </w:pPr>
            <w:r w:rsidRPr="006A4A08">
              <w:rPr>
                <w:rFonts w:ascii="Calibri" w:eastAsia="Times New Roman" w:hAnsi="Calibri" w:cs="Calibri"/>
                <w:color w:val="000000"/>
                <w:sz w:val="14"/>
                <w:szCs w:val="14"/>
                <w:lang w:val="en-GB" w:eastAsia="en-GB"/>
              </w:rPr>
              <w:t xml:space="preserve">Additionally, the differentiation highlighted in the Rapporteur, between structures with an extension feature of less than one year ("soft bullet") and structures with an extension feature of more than a year ("conditional pass-through"), cannot be supported by any actual data.  </w:t>
            </w:r>
          </w:p>
          <w:p w:rsidR="006A4A08" w:rsidRPr="006A4A08" w:rsidRDefault="006A4A08" w:rsidP="006A4A08">
            <w:pPr>
              <w:jc w:val="both"/>
              <w:rPr>
                <w:rFonts w:ascii="Calibri" w:eastAsia="Times New Roman" w:hAnsi="Calibri" w:cs="Calibri"/>
                <w:color w:val="000000"/>
                <w:sz w:val="14"/>
                <w:szCs w:val="14"/>
                <w:lang w:val="en-GB" w:eastAsia="en-GB"/>
              </w:rPr>
            </w:pPr>
            <w:r w:rsidRPr="006A4A08">
              <w:rPr>
                <w:rFonts w:ascii="Calibri" w:eastAsia="Times New Roman" w:hAnsi="Calibri" w:cs="Calibri"/>
                <w:color w:val="000000"/>
                <w:sz w:val="14"/>
                <w:szCs w:val="14"/>
                <w:lang w:val="en-GB" w:eastAsia="en-GB"/>
              </w:rPr>
              <w:t xml:space="preserve">In both soft bullet and conditional pass-through structures, the portfolio managers try to liquidate the cover pool assets at a price at least equal to the required redemption amount, which includes principal and interest on the covered bonds and senior expenses. In soft bullet structures the portfolio can typically liquidate at any price 6 months prior to the extended maturity date (so in essence six months after the extension event), whereas in conditional pass-through structures the portfolio managers can continue the process for a longer period. In both structures however, bondholders </w:t>
            </w:r>
            <w:r>
              <w:rPr>
                <w:rFonts w:ascii="Calibri" w:eastAsia="Times New Roman" w:hAnsi="Calibri" w:cs="Calibri"/>
                <w:color w:val="000000"/>
                <w:sz w:val="14"/>
                <w:szCs w:val="14"/>
                <w:lang w:val="en-GB" w:eastAsia="en-GB"/>
              </w:rPr>
              <w:t>can typically force a sale with</w:t>
            </w:r>
            <w:r w:rsidRPr="006A4A08">
              <w:rPr>
                <w:rFonts w:ascii="Calibri" w:eastAsia="Times New Roman" w:hAnsi="Calibri" w:cs="Calibri"/>
                <w:color w:val="000000"/>
                <w:sz w:val="14"/>
                <w:szCs w:val="14"/>
                <w:lang w:val="en-GB" w:eastAsia="en-GB"/>
              </w:rPr>
              <w:t xml:space="preserve"> majorities. As a result, the risk of the investors being trapped in a structure without having access to the estate of the issuer is mitigated. </w:t>
            </w:r>
          </w:p>
          <w:p w:rsidR="006A4A08" w:rsidRPr="006A4A08" w:rsidRDefault="006A4A08" w:rsidP="006A4A08">
            <w:pPr>
              <w:jc w:val="both"/>
              <w:rPr>
                <w:rFonts w:ascii="Calibri" w:eastAsia="Times New Roman" w:hAnsi="Calibri" w:cs="Calibri"/>
                <w:color w:val="000000"/>
                <w:sz w:val="14"/>
                <w:szCs w:val="14"/>
                <w:lang w:val="en-GB" w:eastAsia="en-GB"/>
              </w:rPr>
            </w:pPr>
            <w:r w:rsidRPr="006A4A08">
              <w:rPr>
                <w:rFonts w:ascii="Calibri" w:eastAsia="Times New Roman" w:hAnsi="Calibri" w:cs="Calibri"/>
                <w:color w:val="000000"/>
                <w:sz w:val="14"/>
                <w:szCs w:val="14"/>
                <w:lang w:val="en-GB" w:eastAsia="en-GB"/>
              </w:rPr>
              <w:t>The set-forth assumption that if asset prices have not recovered in one year, then their reduced level is persistent is also not supported by any evidence. It does not account for systemic risk, especially in</w:t>
            </w:r>
            <w:r>
              <w:rPr>
                <w:rFonts w:ascii="Calibri" w:eastAsia="Times New Roman" w:hAnsi="Calibri" w:cs="Calibri"/>
                <w:color w:val="000000"/>
                <w:sz w:val="14"/>
                <w:szCs w:val="14"/>
                <w:lang w:val="en-GB" w:eastAsia="en-GB"/>
              </w:rPr>
              <w:t xml:space="preserve"> times of financial distress or</w:t>
            </w:r>
            <w:r w:rsidRPr="006A4A08">
              <w:rPr>
                <w:rFonts w:ascii="Calibri" w:eastAsia="Times New Roman" w:hAnsi="Calibri" w:cs="Calibri"/>
                <w:color w:val="000000"/>
                <w:sz w:val="14"/>
                <w:szCs w:val="14"/>
                <w:lang w:val="en-GB" w:eastAsia="en-GB"/>
              </w:rPr>
              <w:t xml:space="preserve"> banking systems that covered bonds are a major part of their funding structure. Furthermore, no rationale is provided as to why a one-year period mitigates the risk of fire sale, whereas for example a period of three year does not.</w:t>
            </w:r>
          </w:p>
          <w:p w:rsidR="006A4A08" w:rsidRPr="006A4A08" w:rsidRDefault="006A4A08" w:rsidP="006A4A08">
            <w:pPr>
              <w:jc w:val="both"/>
              <w:rPr>
                <w:rFonts w:ascii="Calibri" w:eastAsia="Times New Roman" w:hAnsi="Calibri" w:cs="Calibri"/>
                <w:color w:val="000000"/>
                <w:sz w:val="14"/>
                <w:szCs w:val="14"/>
                <w:lang w:val="en-GB" w:eastAsia="en-GB"/>
              </w:rPr>
            </w:pPr>
            <w:r w:rsidRPr="006A4A08">
              <w:rPr>
                <w:rFonts w:ascii="Calibri" w:eastAsia="Times New Roman" w:hAnsi="Calibri" w:cs="Calibri"/>
                <w:color w:val="000000"/>
                <w:sz w:val="14"/>
                <w:szCs w:val="14"/>
                <w:lang w:val="en-GB" w:eastAsia="en-GB"/>
              </w:rPr>
              <w:t>The focus of the Directive and Regulations should shift back to the arbitrary element of these structures, which is related to the issuers' discretion to extend - an element which although is highlighted at conditional pass-through structures - is almost a market standard for soft-bullet structures. We agree on the approach of the related ECB's opinion on the triggers to extend, which is based on EBA's relevant recommendations.</w:t>
            </w:r>
          </w:p>
        </w:tc>
        <w:tc>
          <w:tcPr>
            <w:tcW w:w="992" w:type="dxa"/>
            <w:shd w:val="clear" w:color="auto" w:fill="auto"/>
            <w:vAlign w:val="center"/>
          </w:tcPr>
          <w:p w:rsidR="006A4A08" w:rsidRPr="006A4A08" w:rsidRDefault="006A4A08" w:rsidP="006A4A08">
            <w:pPr>
              <w:jc w:val="both"/>
              <w:rPr>
                <w:rFonts w:ascii="Calibri" w:eastAsia="Times New Roman" w:hAnsi="Calibri" w:cs="Calibri"/>
                <w:color w:val="000000"/>
                <w:sz w:val="14"/>
                <w:szCs w:val="14"/>
                <w:lang w:val="en-GB" w:eastAsia="en-GB"/>
              </w:rPr>
            </w:pPr>
            <w:r w:rsidRPr="006A4A08">
              <w:rPr>
                <w:rFonts w:ascii="Calibri" w:eastAsia="Times New Roman" w:hAnsi="Calibri" w:cs="Calibri"/>
                <w:color w:val="000000"/>
                <w:sz w:val="14"/>
                <w:szCs w:val="14"/>
                <w:lang w:val="en-GB" w:eastAsia="en-GB"/>
              </w:rPr>
              <w:t>High</w:t>
            </w:r>
          </w:p>
        </w:tc>
        <w:tc>
          <w:tcPr>
            <w:tcW w:w="851" w:type="dxa"/>
            <w:shd w:val="clear" w:color="auto" w:fill="auto"/>
            <w:vAlign w:val="center"/>
          </w:tcPr>
          <w:p w:rsidR="006A4A08" w:rsidRPr="006A4A08" w:rsidRDefault="006A4A08" w:rsidP="006A4A08">
            <w:pPr>
              <w:jc w:val="both"/>
              <w:rPr>
                <w:rFonts w:ascii="Calibri" w:eastAsia="Times New Roman" w:hAnsi="Calibri" w:cs="Calibri"/>
                <w:color w:val="000000"/>
                <w:sz w:val="14"/>
                <w:szCs w:val="14"/>
                <w:lang w:val="en-GB" w:eastAsia="en-GB"/>
              </w:rPr>
            </w:pPr>
            <w:r w:rsidRPr="006A4A08">
              <w:rPr>
                <w:rFonts w:ascii="Calibri" w:eastAsia="Times New Roman" w:hAnsi="Calibri" w:cs="Calibri"/>
                <w:color w:val="000000"/>
                <w:sz w:val="14"/>
                <w:szCs w:val="14"/>
                <w:lang w:val="en-GB" w:eastAsia="en-GB"/>
              </w:rPr>
              <w:t>Delete</w:t>
            </w:r>
          </w:p>
        </w:tc>
        <w:tc>
          <w:tcPr>
            <w:tcW w:w="709" w:type="dxa"/>
            <w:vAlign w:val="center"/>
          </w:tcPr>
          <w:p w:rsidR="006A4A08" w:rsidRPr="006A4A08" w:rsidRDefault="006A4A08" w:rsidP="006A4A08">
            <w:pPr>
              <w:jc w:val="center"/>
              <w:rPr>
                <w:rFonts w:ascii="Calibri" w:hAnsi="Calibri" w:cs="Calibri"/>
                <w:sz w:val="14"/>
                <w:szCs w:val="14"/>
                <w:lang w:val="en-GB"/>
              </w:rPr>
            </w:pPr>
            <w:r w:rsidRPr="006A4A08">
              <w:rPr>
                <w:rFonts w:ascii="Calibri" w:hAnsi="Calibri" w:cs="Calibri"/>
                <w:sz w:val="14"/>
                <w:szCs w:val="14"/>
                <w:lang w:val="en-GB"/>
              </w:rPr>
              <w:t>EU</w:t>
            </w:r>
          </w:p>
        </w:tc>
      </w:tr>
      <w:tr w:rsidR="006A4A08" w:rsidRPr="006A4A08" w:rsidTr="006A4A08">
        <w:trPr>
          <w:trHeight w:val="823"/>
        </w:trPr>
        <w:tc>
          <w:tcPr>
            <w:tcW w:w="704" w:type="dxa"/>
            <w:vAlign w:val="center"/>
          </w:tcPr>
          <w:p w:rsidR="006A4A08" w:rsidRPr="006A4A08" w:rsidRDefault="006A4A08" w:rsidP="006A4A08">
            <w:pPr>
              <w:rPr>
                <w:rFonts w:ascii="Calibri" w:eastAsia="Times New Roman" w:hAnsi="Calibri" w:cs="Calibri"/>
                <w:color w:val="000000"/>
                <w:sz w:val="14"/>
                <w:szCs w:val="14"/>
                <w:lang w:val="en-GB" w:eastAsia="en-GB"/>
              </w:rPr>
            </w:pPr>
            <w:r w:rsidRPr="006A4A08">
              <w:rPr>
                <w:rFonts w:ascii="Calibri" w:eastAsia="Times New Roman" w:hAnsi="Calibri" w:cs="Calibri"/>
                <w:color w:val="000000"/>
                <w:sz w:val="14"/>
                <w:szCs w:val="14"/>
                <w:lang w:val="en-GB" w:eastAsia="en-GB"/>
              </w:rPr>
              <w:t>2</w:t>
            </w:r>
          </w:p>
        </w:tc>
        <w:tc>
          <w:tcPr>
            <w:tcW w:w="992" w:type="dxa"/>
            <w:shd w:val="clear" w:color="auto" w:fill="auto"/>
          </w:tcPr>
          <w:p w:rsidR="006A4A08" w:rsidRPr="006A4A08" w:rsidRDefault="006A4A08" w:rsidP="006A4A08">
            <w:pPr>
              <w:rPr>
                <w:rFonts w:ascii="Calibri" w:hAnsi="Calibri" w:cs="Calibri"/>
                <w:sz w:val="14"/>
                <w:szCs w:val="14"/>
                <w:lang w:val="en-GB"/>
              </w:rPr>
            </w:pPr>
            <w:r w:rsidRPr="006A4A08">
              <w:rPr>
                <w:rFonts w:ascii="Calibri" w:hAnsi="Calibri" w:cs="Calibri"/>
                <w:sz w:val="14"/>
                <w:szCs w:val="14"/>
                <w:lang w:val="en-GB"/>
              </w:rPr>
              <w:t>Regulation - Amendment 15</w:t>
            </w:r>
          </w:p>
        </w:tc>
        <w:tc>
          <w:tcPr>
            <w:tcW w:w="2694" w:type="dxa"/>
            <w:shd w:val="clear" w:color="auto" w:fill="auto"/>
            <w:vAlign w:val="center"/>
          </w:tcPr>
          <w:p w:rsidR="006A4A08" w:rsidRPr="006A4A08" w:rsidRDefault="006A4A08" w:rsidP="006A4A08">
            <w:pPr>
              <w:jc w:val="both"/>
              <w:rPr>
                <w:rFonts w:ascii="Calibri" w:eastAsia="Times New Roman" w:hAnsi="Calibri" w:cs="Calibri"/>
                <w:color w:val="000000"/>
                <w:sz w:val="14"/>
                <w:szCs w:val="14"/>
                <w:lang w:val="en-GB" w:eastAsia="en-GB"/>
              </w:rPr>
            </w:pPr>
            <w:r w:rsidRPr="006A4A08">
              <w:rPr>
                <w:rFonts w:ascii="Calibri" w:eastAsia="Times New Roman" w:hAnsi="Calibri" w:cs="Calibri"/>
                <w:color w:val="000000"/>
                <w:sz w:val="14"/>
                <w:szCs w:val="14"/>
                <w:lang w:val="en-GB" w:eastAsia="en-GB"/>
              </w:rPr>
              <w:t>"(eb) after paragraph 7, the following paragraph is inserted:</w:t>
            </w:r>
          </w:p>
          <w:p w:rsidR="006A4A08" w:rsidRPr="006A4A08" w:rsidRDefault="006A4A08" w:rsidP="006A4A08">
            <w:pPr>
              <w:jc w:val="both"/>
              <w:rPr>
                <w:rFonts w:ascii="Calibri" w:eastAsia="Times New Roman" w:hAnsi="Calibri" w:cs="Calibri"/>
                <w:color w:val="000000"/>
                <w:sz w:val="14"/>
                <w:szCs w:val="14"/>
                <w:lang w:val="en-GB" w:eastAsia="en-GB"/>
              </w:rPr>
            </w:pPr>
          </w:p>
          <w:p w:rsidR="006A4A08" w:rsidRPr="006A4A08" w:rsidRDefault="006A4A08" w:rsidP="006A4A08">
            <w:pPr>
              <w:jc w:val="both"/>
              <w:rPr>
                <w:rFonts w:ascii="Calibri" w:eastAsia="Times New Roman" w:hAnsi="Calibri" w:cs="Calibri"/>
                <w:color w:val="000000"/>
                <w:sz w:val="14"/>
                <w:szCs w:val="14"/>
                <w:lang w:val="en-GB" w:eastAsia="en-GB"/>
              </w:rPr>
            </w:pPr>
            <w:r w:rsidRPr="006A4A08">
              <w:rPr>
                <w:rFonts w:ascii="Calibri" w:eastAsia="Times New Roman" w:hAnsi="Calibri" w:cs="Calibri"/>
                <w:color w:val="000000"/>
                <w:sz w:val="14"/>
                <w:szCs w:val="14"/>
                <w:lang w:val="en-GB" w:eastAsia="en-GB"/>
              </w:rPr>
              <w:t>7b. The risk weights…….</w:t>
            </w:r>
          </w:p>
          <w:p w:rsidR="006A4A08" w:rsidRPr="006A4A08" w:rsidRDefault="006A4A08" w:rsidP="006A4A08">
            <w:pPr>
              <w:jc w:val="both"/>
              <w:rPr>
                <w:rFonts w:ascii="Calibri" w:eastAsia="Times New Roman" w:hAnsi="Calibri" w:cs="Calibri"/>
                <w:color w:val="000000"/>
                <w:sz w:val="14"/>
                <w:szCs w:val="14"/>
                <w:lang w:val="en-GB" w:eastAsia="en-GB"/>
              </w:rPr>
            </w:pPr>
          </w:p>
        </w:tc>
        <w:tc>
          <w:tcPr>
            <w:tcW w:w="1275" w:type="dxa"/>
            <w:shd w:val="clear" w:color="auto" w:fill="auto"/>
            <w:vAlign w:val="center"/>
          </w:tcPr>
          <w:p w:rsidR="006A4A08" w:rsidRPr="006A4A08" w:rsidRDefault="006A4A08" w:rsidP="006A4A08">
            <w:pPr>
              <w:rPr>
                <w:rFonts w:ascii="Calibri" w:eastAsia="Times New Roman" w:hAnsi="Calibri" w:cs="Calibri"/>
                <w:color w:val="000000"/>
                <w:sz w:val="14"/>
                <w:szCs w:val="14"/>
                <w:lang w:val="en-GB" w:eastAsia="en-GB"/>
              </w:rPr>
            </w:pPr>
            <w:r w:rsidRPr="006A4A08">
              <w:rPr>
                <w:rFonts w:ascii="Calibri" w:eastAsia="Times New Roman" w:hAnsi="Calibri" w:cs="Calibri"/>
                <w:color w:val="000000"/>
                <w:sz w:val="14"/>
                <w:szCs w:val="14"/>
                <w:lang w:val="en-GB" w:eastAsia="en-GB"/>
              </w:rPr>
              <w:t xml:space="preserve">Increased risk weights for </w:t>
            </w:r>
            <w:r w:rsidRPr="00A42B3C">
              <w:rPr>
                <w:rFonts w:asciiTheme="majorHAnsi" w:hAnsiTheme="majorHAnsi" w:cstheme="majorHAnsi"/>
                <w:sz w:val="14"/>
                <w:szCs w:val="16"/>
                <w:lang w:val="en-GB"/>
              </w:rPr>
              <w:t xml:space="preserve">extendable </w:t>
            </w:r>
            <w:r w:rsidRPr="006A4A08">
              <w:rPr>
                <w:rFonts w:ascii="Calibri" w:eastAsia="Times New Roman" w:hAnsi="Calibri" w:cs="Calibri"/>
                <w:color w:val="000000"/>
                <w:sz w:val="14"/>
                <w:szCs w:val="14"/>
                <w:lang w:val="en-GB" w:eastAsia="en-GB"/>
              </w:rPr>
              <w:t>maturity covered bonds</w:t>
            </w:r>
          </w:p>
        </w:tc>
        <w:tc>
          <w:tcPr>
            <w:tcW w:w="6379" w:type="dxa"/>
            <w:shd w:val="clear" w:color="auto" w:fill="auto"/>
            <w:vAlign w:val="center"/>
          </w:tcPr>
          <w:p w:rsidR="006A4A08" w:rsidRPr="006A4A08" w:rsidRDefault="006A4A08" w:rsidP="006A4A08">
            <w:pPr>
              <w:jc w:val="both"/>
              <w:rPr>
                <w:rFonts w:ascii="Calibri" w:eastAsia="Times New Roman" w:hAnsi="Calibri" w:cs="Calibri"/>
                <w:color w:val="000000"/>
                <w:sz w:val="14"/>
                <w:szCs w:val="14"/>
                <w:lang w:val="en-GB" w:eastAsia="en-GB"/>
              </w:rPr>
            </w:pPr>
            <w:r w:rsidRPr="006A4A08">
              <w:rPr>
                <w:rFonts w:ascii="Calibri" w:eastAsia="Times New Roman" w:hAnsi="Calibri" w:cs="Calibri"/>
                <w:color w:val="000000"/>
                <w:sz w:val="14"/>
                <w:szCs w:val="14"/>
                <w:lang w:val="en-GB" w:eastAsia="en-GB"/>
              </w:rPr>
              <w:t>as per above</w:t>
            </w:r>
          </w:p>
        </w:tc>
        <w:tc>
          <w:tcPr>
            <w:tcW w:w="992" w:type="dxa"/>
            <w:shd w:val="clear" w:color="auto" w:fill="auto"/>
            <w:vAlign w:val="center"/>
          </w:tcPr>
          <w:p w:rsidR="006A4A08" w:rsidRPr="006A4A08" w:rsidRDefault="006A4A08" w:rsidP="006A4A08">
            <w:pPr>
              <w:jc w:val="both"/>
              <w:rPr>
                <w:rFonts w:ascii="Calibri" w:eastAsia="Times New Roman" w:hAnsi="Calibri" w:cs="Calibri"/>
                <w:color w:val="000000"/>
                <w:sz w:val="14"/>
                <w:szCs w:val="14"/>
                <w:lang w:val="en-GB" w:eastAsia="en-GB"/>
              </w:rPr>
            </w:pPr>
            <w:r w:rsidRPr="006A4A08">
              <w:rPr>
                <w:rFonts w:ascii="Calibri" w:eastAsia="Times New Roman" w:hAnsi="Calibri" w:cs="Calibri"/>
                <w:color w:val="000000"/>
                <w:sz w:val="14"/>
                <w:szCs w:val="14"/>
                <w:lang w:val="en-GB" w:eastAsia="en-GB"/>
              </w:rPr>
              <w:t>High</w:t>
            </w:r>
          </w:p>
        </w:tc>
        <w:tc>
          <w:tcPr>
            <w:tcW w:w="851" w:type="dxa"/>
            <w:shd w:val="clear" w:color="auto" w:fill="auto"/>
            <w:vAlign w:val="center"/>
          </w:tcPr>
          <w:p w:rsidR="006A4A08" w:rsidRPr="006A4A08" w:rsidRDefault="006A4A08" w:rsidP="006A4A08">
            <w:pPr>
              <w:jc w:val="both"/>
              <w:rPr>
                <w:rFonts w:ascii="Calibri" w:eastAsia="Times New Roman" w:hAnsi="Calibri" w:cs="Calibri"/>
                <w:color w:val="000000"/>
                <w:sz w:val="14"/>
                <w:szCs w:val="14"/>
                <w:lang w:val="en-GB" w:eastAsia="en-GB"/>
              </w:rPr>
            </w:pPr>
            <w:r w:rsidRPr="006A4A08">
              <w:rPr>
                <w:rFonts w:ascii="Calibri" w:eastAsia="Times New Roman" w:hAnsi="Calibri" w:cs="Calibri"/>
                <w:color w:val="000000"/>
                <w:sz w:val="14"/>
                <w:szCs w:val="14"/>
                <w:lang w:val="en-GB" w:eastAsia="en-GB"/>
              </w:rPr>
              <w:t>Delete</w:t>
            </w:r>
          </w:p>
        </w:tc>
        <w:tc>
          <w:tcPr>
            <w:tcW w:w="709" w:type="dxa"/>
            <w:vAlign w:val="center"/>
          </w:tcPr>
          <w:p w:rsidR="006A4A08" w:rsidRPr="006A4A08" w:rsidRDefault="006A4A08" w:rsidP="006A4A08">
            <w:pPr>
              <w:jc w:val="center"/>
              <w:rPr>
                <w:rFonts w:ascii="Calibri" w:hAnsi="Calibri" w:cs="Calibri"/>
                <w:sz w:val="14"/>
                <w:szCs w:val="14"/>
                <w:lang w:val="en-GB"/>
              </w:rPr>
            </w:pPr>
            <w:r w:rsidRPr="006A4A08">
              <w:rPr>
                <w:rFonts w:ascii="Calibri" w:hAnsi="Calibri" w:cs="Calibri"/>
                <w:sz w:val="14"/>
                <w:szCs w:val="14"/>
                <w:lang w:val="en-GB"/>
              </w:rPr>
              <w:t>EU</w:t>
            </w:r>
          </w:p>
        </w:tc>
      </w:tr>
      <w:tr w:rsidR="006A4A08" w:rsidRPr="006A4A08" w:rsidTr="006A4A08">
        <w:trPr>
          <w:trHeight w:val="540"/>
        </w:trPr>
        <w:tc>
          <w:tcPr>
            <w:tcW w:w="704" w:type="dxa"/>
            <w:vAlign w:val="center"/>
          </w:tcPr>
          <w:p w:rsidR="006A4A08" w:rsidRPr="006A4A08" w:rsidRDefault="006A4A08" w:rsidP="006A4A08">
            <w:pPr>
              <w:rPr>
                <w:rFonts w:ascii="Calibri" w:eastAsia="Times New Roman" w:hAnsi="Calibri" w:cs="Calibri"/>
                <w:color w:val="000000"/>
                <w:sz w:val="14"/>
                <w:szCs w:val="14"/>
                <w:lang w:val="en-GB" w:eastAsia="en-GB"/>
              </w:rPr>
            </w:pPr>
            <w:r w:rsidRPr="006A4A08">
              <w:rPr>
                <w:rFonts w:ascii="Calibri" w:eastAsia="Times New Roman" w:hAnsi="Calibri" w:cs="Calibri"/>
                <w:color w:val="000000"/>
                <w:sz w:val="14"/>
                <w:szCs w:val="14"/>
                <w:lang w:val="en-GB" w:eastAsia="en-GB"/>
              </w:rPr>
              <w:t>3</w:t>
            </w:r>
          </w:p>
        </w:tc>
        <w:tc>
          <w:tcPr>
            <w:tcW w:w="992" w:type="dxa"/>
            <w:shd w:val="clear" w:color="auto" w:fill="auto"/>
          </w:tcPr>
          <w:p w:rsidR="006A4A08" w:rsidRPr="006A4A08" w:rsidRDefault="006A4A08" w:rsidP="006A4A08">
            <w:pPr>
              <w:rPr>
                <w:rFonts w:ascii="Calibri" w:hAnsi="Calibri" w:cs="Calibri"/>
                <w:sz w:val="14"/>
                <w:szCs w:val="14"/>
                <w:lang w:val="en-GB"/>
              </w:rPr>
            </w:pPr>
            <w:r w:rsidRPr="006A4A08">
              <w:rPr>
                <w:rFonts w:ascii="Calibri" w:hAnsi="Calibri" w:cs="Calibri"/>
                <w:sz w:val="14"/>
                <w:szCs w:val="14"/>
                <w:lang w:val="en-GB"/>
              </w:rPr>
              <w:t>Directive - Amendment 7</w:t>
            </w:r>
          </w:p>
        </w:tc>
        <w:tc>
          <w:tcPr>
            <w:tcW w:w="2694" w:type="dxa"/>
            <w:shd w:val="clear" w:color="auto" w:fill="auto"/>
            <w:vAlign w:val="center"/>
          </w:tcPr>
          <w:p w:rsidR="006A4A08" w:rsidRPr="006A4A08" w:rsidRDefault="006A4A08" w:rsidP="006A4A08">
            <w:pPr>
              <w:jc w:val="both"/>
              <w:rPr>
                <w:rFonts w:ascii="Calibri" w:eastAsia="Times New Roman" w:hAnsi="Calibri" w:cs="Calibri"/>
                <w:color w:val="000000"/>
                <w:sz w:val="14"/>
                <w:szCs w:val="14"/>
                <w:lang w:val="en-GB" w:eastAsia="en-GB"/>
              </w:rPr>
            </w:pPr>
            <w:r w:rsidRPr="006A4A08">
              <w:rPr>
                <w:rFonts w:ascii="Calibri" w:eastAsia="Times New Roman" w:hAnsi="Calibri" w:cs="Calibri"/>
                <w:color w:val="000000"/>
                <w:sz w:val="14"/>
                <w:szCs w:val="14"/>
                <w:lang w:val="en-GB" w:eastAsia="en-GB"/>
              </w:rPr>
              <w:t>"while investors….increasing risk"</w:t>
            </w:r>
          </w:p>
        </w:tc>
        <w:tc>
          <w:tcPr>
            <w:tcW w:w="1275" w:type="dxa"/>
            <w:shd w:val="clear" w:color="auto" w:fill="auto"/>
            <w:vAlign w:val="center"/>
          </w:tcPr>
          <w:p w:rsidR="006A4A08" w:rsidRPr="006A4A08" w:rsidRDefault="006A4A08" w:rsidP="006A4A08">
            <w:pPr>
              <w:rPr>
                <w:rFonts w:ascii="Calibri" w:eastAsia="Times New Roman" w:hAnsi="Calibri" w:cs="Calibri"/>
                <w:color w:val="000000"/>
                <w:sz w:val="14"/>
                <w:szCs w:val="14"/>
                <w:lang w:val="en-GB" w:eastAsia="en-GB"/>
              </w:rPr>
            </w:pPr>
            <w:r w:rsidRPr="006A4A08">
              <w:rPr>
                <w:rFonts w:ascii="Calibri" w:eastAsia="Times New Roman" w:hAnsi="Calibri" w:cs="Calibri"/>
                <w:color w:val="000000"/>
                <w:sz w:val="14"/>
                <w:szCs w:val="14"/>
                <w:lang w:val="en-GB" w:eastAsia="en-GB"/>
              </w:rPr>
              <w:t xml:space="preserve">Increased risk weights for </w:t>
            </w:r>
            <w:r w:rsidRPr="00A42B3C">
              <w:rPr>
                <w:rFonts w:asciiTheme="majorHAnsi" w:hAnsiTheme="majorHAnsi" w:cstheme="majorHAnsi"/>
                <w:sz w:val="14"/>
                <w:szCs w:val="16"/>
                <w:lang w:val="en-GB"/>
              </w:rPr>
              <w:t xml:space="preserve">extendable </w:t>
            </w:r>
            <w:r w:rsidRPr="006A4A08">
              <w:rPr>
                <w:rFonts w:ascii="Calibri" w:eastAsia="Times New Roman" w:hAnsi="Calibri" w:cs="Calibri"/>
                <w:color w:val="000000"/>
                <w:sz w:val="14"/>
                <w:szCs w:val="14"/>
                <w:lang w:val="en-GB" w:eastAsia="en-GB"/>
              </w:rPr>
              <w:t>maturity covered bonds</w:t>
            </w:r>
          </w:p>
        </w:tc>
        <w:tc>
          <w:tcPr>
            <w:tcW w:w="6379" w:type="dxa"/>
            <w:shd w:val="clear" w:color="auto" w:fill="auto"/>
            <w:vAlign w:val="center"/>
          </w:tcPr>
          <w:p w:rsidR="006A4A08" w:rsidRPr="006A4A08" w:rsidRDefault="006A4A08" w:rsidP="006A4A08">
            <w:pPr>
              <w:jc w:val="both"/>
              <w:rPr>
                <w:rFonts w:ascii="Calibri" w:eastAsia="Times New Roman" w:hAnsi="Calibri" w:cs="Calibri"/>
                <w:color w:val="000000"/>
                <w:sz w:val="14"/>
                <w:szCs w:val="14"/>
                <w:lang w:val="en-GB" w:eastAsia="en-GB"/>
              </w:rPr>
            </w:pPr>
            <w:r w:rsidRPr="006A4A08">
              <w:rPr>
                <w:rFonts w:ascii="Calibri" w:eastAsia="Times New Roman" w:hAnsi="Calibri" w:cs="Calibri"/>
                <w:color w:val="000000"/>
                <w:sz w:val="14"/>
                <w:szCs w:val="14"/>
                <w:lang w:val="en-GB" w:eastAsia="en-GB"/>
              </w:rPr>
              <w:t>As per above</w:t>
            </w:r>
          </w:p>
        </w:tc>
        <w:tc>
          <w:tcPr>
            <w:tcW w:w="992" w:type="dxa"/>
            <w:shd w:val="clear" w:color="auto" w:fill="auto"/>
            <w:vAlign w:val="center"/>
          </w:tcPr>
          <w:p w:rsidR="006A4A08" w:rsidRPr="006A4A08" w:rsidRDefault="006A4A08" w:rsidP="006A4A08">
            <w:pPr>
              <w:jc w:val="both"/>
              <w:rPr>
                <w:rFonts w:ascii="Calibri" w:eastAsia="Times New Roman" w:hAnsi="Calibri" w:cs="Calibri"/>
                <w:color w:val="000000"/>
                <w:sz w:val="14"/>
                <w:szCs w:val="14"/>
                <w:lang w:val="en-GB" w:eastAsia="en-GB"/>
              </w:rPr>
            </w:pPr>
            <w:r w:rsidRPr="006A4A08">
              <w:rPr>
                <w:rFonts w:ascii="Calibri" w:eastAsia="Times New Roman" w:hAnsi="Calibri" w:cs="Calibri"/>
                <w:color w:val="000000"/>
                <w:sz w:val="14"/>
                <w:szCs w:val="14"/>
                <w:lang w:val="en-GB" w:eastAsia="en-GB"/>
              </w:rPr>
              <w:t>High</w:t>
            </w:r>
          </w:p>
        </w:tc>
        <w:tc>
          <w:tcPr>
            <w:tcW w:w="851" w:type="dxa"/>
            <w:shd w:val="clear" w:color="auto" w:fill="auto"/>
            <w:vAlign w:val="center"/>
          </w:tcPr>
          <w:p w:rsidR="006A4A08" w:rsidRPr="006A4A08" w:rsidRDefault="006A4A08" w:rsidP="006A4A08">
            <w:pPr>
              <w:jc w:val="both"/>
              <w:rPr>
                <w:rFonts w:ascii="Calibri" w:hAnsi="Calibri" w:cs="Calibri"/>
                <w:sz w:val="14"/>
                <w:szCs w:val="14"/>
                <w:lang w:val="en-GB"/>
              </w:rPr>
            </w:pPr>
            <w:r w:rsidRPr="006A4A08">
              <w:rPr>
                <w:rFonts w:ascii="Calibri" w:hAnsi="Calibri" w:cs="Calibri"/>
                <w:sz w:val="14"/>
                <w:szCs w:val="14"/>
                <w:lang w:val="en-GB"/>
              </w:rPr>
              <w:t>Delete</w:t>
            </w:r>
          </w:p>
        </w:tc>
        <w:tc>
          <w:tcPr>
            <w:tcW w:w="709" w:type="dxa"/>
            <w:vAlign w:val="center"/>
          </w:tcPr>
          <w:p w:rsidR="006A4A08" w:rsidRPr="006A4A08" w:rsidRDefault="006A4A08" w:rsidP="006A4A08">
            <w:pPr>
              <w:jc w:val="center"/>
              <w:rPr>
                <w:rFonts w:ascii="Calibri" w:hAnsi="Calibri" w:cs="Calibri"/>
                <w:sz w:val="14"/>
                <w:szCs w:val="14"/>
                <w:lang w:val="en-GB"/>
              </w:rPr>
            </w:pPr>
            <w:r w:rsidRPr="006A4A08">
              <w:rPr>
                <w:rFonts w:ascii="Calibri" w:hAnsi="Calibri" w:cs="Calibri"/>
                <w:sz w:val="14"/>
                <w:szCs w:val="14"/>
                <w:lang w:val="en-GB"/>
              </w:rPr>
              <w:t>EU</w:t>
            </w:r>
          </w:p>
        </w:tc>
      </w:tr>
    </w:tbl>
    <w:p w:rsidR="006A4A08" w:rsidRPr="00A42B3C" w:rsidRDefault="006A4A08" w:rsidP="006A4A08">
      <w:pPr>
        <w:jc w:val="both"/>
        <w:rPr>
          <w:rFonts w:asciiTheme="majorHAnsi" w:hAnsiTheme="majorHAnsi" w:cstheme="majorHAnsi"/>
          <w:sz w:val="14"/>
          <w:szCs w:val="14"/>
          <w:lang w:val="en-GB"/>
        </w:rPr>
      </w:pPr>
    </w:p>
    <w:p w:rsidR="006A4A08" w:rsidRPr="006A4A08" w:rsidRDefault="006A4A08" w:rsidP="006A4A08">
      <w:pPr>
        <w:rPr>
          <w:rFonts w:asciiTheme="majorHAnsi" w:hAnsiTheme="majorHAnsi" w:cstheme="majorHAnsi"/>
          <w:i/>
          <w:sz w:val="20"/>
          <w:szCs w:val="16"/>
          <w:lang w:val="en-US"/>
        </w:rPr>
      </w:pPr>
      <w:r w:rsidRPr="00A42B3C">
        <w:rPr>
          <w:rFonts w:asciiTheme="majorHAnsi" w:hAnsiTheme="majorHAnsi" w:cstheme="majorHAnsi"/>
          <w:i/>
          <w:sz w:val="20"/>
          <w:szCs w:val="16"/>
          <w:lang w:val="en-GB"/>
        </w:rPr>
        <w:t xml:space="preserve">Source: </w:t>
      </w:r>
      <w:r w:rsidRPr="006A4A08">
        <w:rPr>
          <w:rFonts w:asciiTheme="majorHAnsi" w:hAnsiTheme="majorHAnsi" w:cstheme="majorHAnsi"/>
          <w:i/>
          <w:sz w:val="20"/>
          <w:szCs w:val="16"/>
          <w:lang w:val="en-US"/>
        </w:rPr>
        <w:t>National Bank of Greece</w:t>
      </w:r>
    </w:p>
    <w:p w:rsidR="006A4A08" w:rsidRPr="00A42B3C" w:rsidRDefault="006A4A08" w:rsidP="006A4A08">
      <w:pPr>
        <w:rPr>
          <w:rFonts w:asciiTheme="majorHAnsi" w:hAnsiTheme="majorHAnsi" w:cstheme="majorHAnsi"/>
          <w:i/>
          <w:sz w:val="20"/>
          <w:szCs w:val="16"/>
          <w:lang w:val="en-GB"/>
        </w:rPr>
      </w:pPr>
    </w:p>
    <w:p w:rsidR="00752754" w:rsidRPr="00A42B3C" w:rsidRDefault="006A4A08" w:rsidP="00752754">
      <w:pPr>
        <w:pStyle w:val="Heading1"/>
      </w:pPr>
      <w:r>
        <w:br w:type="column"/>
      </w:r>
      <w:r w:rsidR="00752754" w:rsidRPr="00A42B3C">
        <w:lastRenderedPageBreak/>
        <w:t>Hungary</w:t>
      </w:r>
    </w:p>
    <w:tbl>
      <w:tblPr>
        <w:tblpPr w:leftFromText="180" w:rightFromText="180" w:vertAnchor="text" w:horzAnchor="margin" w:tblpY="80"/>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1158"/>
        <w:gridCol w:w="2551"/>
        <w:gridCol w:w="2977"/>
        <w:gridCol w:w="2977"/>
        <w:gridCol w:w="992"/>
        <w:gridCol w:w="1843"/>
        <w:gridCol w:w="708"/>
      </w:tblGrid>
      <w:tr w:rsidR="00752754" w:rsidRPr="00A42B3C" w:rsidTr="00006B2D">
        <w:trPr>
          <w:trHeight w:val="475"/>
        </w:trPr>
        <w:tc>
          <w:tcPr>
            <w:tcW w:w="964" w:type="dxa"/>
            <w:shd w:val="clear" w:color="auto" w:fill="DE821B"/>
          </w:tcPr>
          <w:p w:rsidR="00752754" w:rsidRPr="00A42B3C" w:rsidRDefault="00752754" w:rsidP="00583F2B">
            <w:pPr>
              <w:jc w:val="center"/>
              <w:rPr>
                <w:rFonts w:asciiTheme="majorHAnsi" w:eastAsia="Times New Roman" w:hAnsiTheme="majorHAnsi" w:cstheme="majorHAnsi"/>
                <w:b/>
                <w:color w:val="FFFFFF" w:themeColor="background1"/>
                <w:sz w:val="14"/>
                <w:szCs w:val="16"/>
                <w:lang w:val="en-GB" w:eastAsia="en-GB"/>
              </w:rPr>
            </w:pPr>
            <w:r w:rsidRPr="00A42B3C">
              <w:rPr>
                <w:rFonts w:asciiTheme="majorHAnsi" w:eastAsia="Times New Roman" w:hAnsiTheme="majorHAnsi" w:cstheme="majorHAnsi"/>
                <w:b/>
                <w:color w:val="FFFFFF" w:themeColor="background1"/>
                <w:sz w:val="14"/>
                <w:szCs w:val="16"/>
                <w:lang w:val="en-GB" w:eastAsia="en-GB"/>
              </w:rPr>
              <w:t>Ranking of priority</w:t>
            </w:r>
          </w:p>
        </w:tc>
        <w:tc>
          <w:tcPr>
            <w:tcW w:w="1158" w:type="dxa"/>
            <w:shd w:val="clear" w:color="auto" w:fill="DE821B"/>
            <w:vAlign w:val="center"/>
            <w:hideMark/>
          </w:tcPr>
          <w:p w:rsidR="00752754" w:rsidRPr="00A42B3C" w:rsidRDefault="00752754" w:rsidP="00583F2B">
            <w:pPr>
              <w:jc w:val="center"/>
              <w:rPr>
                <w:rFonts w:asciiTheme="majorHAnsi" w:eastAsia="Times New Roman" w:hAnsiTheme="majorHAnsi" w:cstheme="majorHAnsi"/>
                <w:b/>
                <w:color w:val="FFFFFF" w:themeColor="background1"/>
                <w:sz w:val="14"/>
                <w:szCs w:val="16"/>
                <w:lang w:val="en-GB" w:eastAsia="en-GB"/>
              </w:rPr>
            </w:pPr>
            <w:r w:rsidRPr="00A42B3C">
              <w:rPr>
                <w:rFonts w:asciiTheme="majorHAnsi" w:eastAsia="Times New Roman" w:hAnsiTheme="majorHAnsi" w:cstheme="majorHAnsi"/>
                <w:b/>
                <w:color w:val="FFFFFF" w:themeColor="background1"/>
                <w:sz w:val="14"/>
                <w:szCs w:val="16"/>
                <w:lang w:val="en-GB" w:eastAsia="en-GB"/>
              </w:rPr>
              <w:t>Location</w:t>
            </w:r>
          </w:p>
        </w:tc>
        <w:tc>
          <w:tcPr>
            <w:tcW w:w="2551" w:type="dxa"/>
            <w:shd w:val="clear" w:color="auto" w:fill="DE821B"/>
            <w:vAlign w:val="center"/>
            <w:hideMark/>
          </w:tcPr>
          <w:p w:rsidR="00752754" w:rsidRPr="00A42B3C" w:rsidRDefault="00752754" w:rsidP="00583F2B">
            <w:pPr>
              <w:jc w:val="center"/>
              <w:rPr>
                <w:rFonts w:asciiTheme="majorHAnsi" w:eastAsia="Times New Roman" w:hAnsiTheme="majorHAnsi" w:cstheme="majorHAnsi"/>
                <w:b/>
                <w:color w:val="FFFFFF" w:themeColor="background1"/>
                <w:sz w:val="14"/>
                <w:szCs w:val="16"/>
                <w:lang w:val="en-GB" w:eastAsia="en-GB"/>
              </w:rPr>
            </w:pPr>
            <w:r w:rsidRPr="00A42B3C">
              <w:rPr>
                <w:rFonts w:asciiTheme="majorHAnsi" w:eastAsia="Times New Roman" w:hAnsiTheme="majorHAnsi" w:cstheme="majorHAnsi"/>
                <w:b/>
                <w:color w:val="FFFFFF" w:themeColor="background1"/>
                <w:sz w:val="14"/>
                <w:szCs w:val="16"/>
                <w:lang w:val="en-GB" w:eastAsia="en-GB"/>
              </w:rPr>
              <w:t>Precise passage concerned</w:t>
            </w:r>
          </w:p>
        </w:tc>
        <w:tc>
          <w:tcPr>
            <w:tcW w:w="2977" w:type="dxa"/>
            <w:shd w:val="clear" w:color="auto" w:fill="DE821B"/>
            <w:vAlign w:val="center"/>
            <w:hideMark/>
          </w:tcPr>
          <w:p w:rsidR="00752754" w:rsidRPr="00A42B3C" w:rsidRDefault="00752754" w:rsidP="00583F2B">
            <w:pPr>
              <w:jc w:val="center"/>
              <w:rPr>
                <w:rFonts w:asciiTheme="majorHAnsi" w:eastAsia="Times New Roman" w:hAnsiTheme="majorHAnsi" w:cstheme="majorHAnsi"/>
                <w:b/>
                <w:color w:val="FFFFFF" w:themeColor="background1"/>
                <w:sz w:val="14"/>
                <w:szCs w:val="16"/>
                <w:lang w:val="en-GB" w:eastAsia="en-GB"/>
              </w:rPr>
            </w:pPr>
            <w:r w:rsidRPr="00A42B3C">
              <w:rPr>
                <w:rFonts w:asciiTheme="majorHAnsi" w:eastAsia="Times New Roman" w:hAnsiTheme="majorHAnsi" w:cstheme="majorHAnsi"/>
                <w:b/>
                <w:color w:val="FFFFFF" w:themeColor="background1"/>
                <w:sz w:val="14"/>
                <w:szCs w:val="16"/>
                <w:lang w:val="en-GB" w:eastAsia="en-GB"/>
              </w:rPr>
              <w:t>Description of the Issue</w:t>
            </w:r>
          </w:p>
        </w:tc>
        <w:tc>
          <w:tcPr>
            <w:tcW w:w="2977" w:type="dxa"/>
            <w:shd w:val="clear" w:color="auto" w:fill="DE821B"/>
            <w:vAlign w:val="center"/>
            <w:hideMark/>
          </w:tcPr>
          <w:p w:rsidR="00752754" w:rsidRPr="00A42B3C" w:rsidRDefault="00752754" w:rsidP="00583F2B">
            <w:pPr>
              <w:jc w:val="center"/>
              <w:rPr>
                <w:rFonts w:asciiTheme="majorHAnsi" w:eastAsia="Times New Roman" w:hAnsiTheme="majorHAnsi" w:cstheme="majorHAnsi"/>
                <w:b/>
                <w:color w:val="FFFFFF" w:themeColor="background1"/>
                <w:sz w:val="14"/>
                <w:szCs w:val="16"/>
                <w:lang w:val="en-GB" w:eastAsia="en-GB"/>
              </w:rPr>
            </w:pPr>
            <w:r w:rsidRPr="00A42B3C">
              <w:rPr>
                <w:rFonts w:asciiTheme="majorHAnsi" w:eastAsia="Times New Roman" w:hAnsiTheme="majorHAnsi" w:cstheme="majorHAnsi"/>
                <w:b/>
                <w:color w:val="FFFFFF" w:themeColor="background1"/>
                <w:sz w:val="14"/>
                <w:szCs w:val="16"/>
                <w:lang w:val="en-GB" w:eastAsia="en-GB"/>
              </w:rPr>
              <w:t>Justification for potential amendment</w:t>
            </w:r>
          </w:p>
        </w:tc>
        <w:tc>
          <w:tcPr>
            <w:tcW w:w="992" w:type="dxa"/>
            <w:shd w:val="clear" w:color="auto" w:fill="DE821B"/>
            <w:vAlign w:val="center"/>
            <w:hideMark/>
          </w:tcPr>
          <w:p w:rsidR="00752754" w:rsidRPr="00A42B3C" w:rsidRDefault="00752754" w:rsidP="00583F2B">
            <w:pPr>
              <w:jc w:val="center"/>
              <w:rPr>
                <w:rFonts w:asciiTheme="majorHAnsi" w:eastAsia="Times New Roman" w:hAnsiTheme="majorHAnsi" w:cstheme="majorHAnsi"/>
                <w:b/>
                <w:color w:val="FFFFFF" w:themeColor="background1"/>
                <w:sz w:val="14"/>
                <w:szCs w:val="16"/>
                <w:lang w:val="en-GB" w:eastAsia="en-GB"/>
              </w:rPr>
            </w:pPr>
            <w:r w:rsidRPr="00A42B3C">
              <w:rPr>
                <w:rFonts w:asciiTheme="majorHAnsi" w:eastAsia="Times New Roman" w:hAnsiTheme="majorHAnsi" w:cstheme="majorHAnsi"/>
                <w:b/>
                <w:color w:val="FFFFFF" w:themeColor="background1"/>
                <w:sz w:val="14"/>
                <w:szCs w:val="16"/>
                <w:lang w:val="en-GB" w:eastAsia="en-GB"/>
              </w:rPr>
              <w:t>Level of seriousness</w:t>
            </w:r>
          </w:p>
        </w:tc>
        <w:tc>
          <w:tcPr>
            <w:tcW w:w="1843" w:type="dxa"/>
            <w:shd w:val="clear" w:color="auto" w:fill="DE821B"/>
            <w:vAlign w:val="center"/>
          </w:tcPr>
          <w:p w:rsidR="00752754" w:rsidRPr="00A42B3C" w:rsidRDefault="00752754" w:rsidP="00583F2B">
            <w:pPr>
              <w:jc w:val="center"/>
              <w:rPr>
                <w:rFonts w:asciiTheme="majorHAnsi" w:eastAsia="Times New Roman" w:hAnsiTheme="majorHAnsi" w:cstheme="majorHAnsi"/>
                <w:b/>
                <w:color w:val="FFFFFF" w:themeColor="background1"/>
                <w:sz w:val="14"/>
                <w:szCs w:val="16"/>
                <w:lang w:val="en-GB" w:eastAsia="en-GB"/>
              </w:rPr>
            </w:pPr>
            <w:r w:rsidRPr="00A42B3C">
              <w:rPr>
                <w:rFonts w:asciiTheme="majorHAnsi" w:eastAsia="Times New Roman" w:hAnsiTheme="majorHAnsi" w:cstheme="majorHAnsi"/>
                <w:b/>
                <w:color w:val="FFFFFF" w:themeColor="background1"/>
                <w:sz w:val="14"/>
                <w:szCs w:val="16"/>
                <w:lang w:val="en-GB" w:eastAsia="en-GB"/>
              </w:rPr>
              <w:t>Proposal for a wording update</w:t>
            </w:r>
          </w:p>
        </w:tc>
        <w:tc>
          <w:tcPr>
            <w:tcW w:w="708" w:type="dxa"/>
            <w:shd w:val="clear" w:color="auto" w:fill="DE821B"/>
            <w:vAlign w:val="center"/>
          </w:tcPr>
          <w:p w:rsidR="00752754" w:rsidRPr="00A42B3C" w:rsidRDefault="00752754" w:rsidP="00583F2B">
            <w:pPr>
              <w:jc w:val="center"/>
              <w:rPr>
                <w:rFonts w:asciiTheme="majorHAnsi" w:eastAsia="Times New Roman" w:hAnsiTheme="majorHAnsi" w:cstheme="majorHAnsi"/>
                <w:b/>
                <w:color w:val="FFFFFF" w:themeColor="background1"/>
                <w:sz w:val="14"/>
                <w:szCs w:val="16"/>
                <w:lang w:val="en-GB" w:eastAsia="en-GB"/>
              </w:rPr>
            </w:pPr>
            <w:r w:rsidRPr="00A42B3C">
              <w:rPr>
                <w:rFonts w:asciiTheme="majorHAnsi" w:eastAsia="Times New Roman" w:hAnsiTheme="majorHAnsi" w:cstheme="majorHAnsi"/>
                <w:b/>
                <w:color w:val="FFFFFF" w:themeColor="background1"/>
                <w:sz w:val="14"/>
                <w:szCs w:val="16"/>
                <w:lang w:val="en-GB" w:eastAsia="en-GB"/>
              </w:rPr>
              <w:t>Scope</w:t>
            </w:r>
          </w:p>
        </w:tc>
      </w:tr>
      <w:tr w:rsidR="002E1FE8" w:rsidRPr="00A42B3C" w:rsidTr="00006B2D">
        <w:trPr>
          <w:trHeight w:val="475"/>
        </w:trPr>
        <w:tc>
          <w:tcPr>
            <w:tcW w:w="964" w:type="dxa"/>
            <w:vAlign w:val="center"/>
          </w:tcPr>
          <w:p w:rsidR="002E1FE8" w:rsidRPr="00A42B3C" w:rsidRDefault="002E1FE8" w:rsidP="002E1FE8">
            <w:pPr>
              <w:rPr>
                <w:rFonts w:asciiTheme="majorHAnsi" w:hAnsiTheme="majorHAnsi" w:cstheme="majorHAnsi"/>
                <w:color w:val="000000"/>
                <w:sz w:val="14"/>
                <w:szCs w:val="16"/>
                <w:lang w:val="en-GB" w:eastAsia="en-GB"/>
              </w:rPr>
            </w:pPr>
            <w:r w:rsidRPr="00A42B3C">
              <w:rPr>
                <w:rFonts w:asciiTheme="majorHAnsi" w:hAnsiTheme="majorHAnsi" w:cstheme="majorHAnsi"/>
                <w:color w:val="000000"/>
                <w:sz w:val="14"/>
                <w:szCs w:val="16"/>
                <w:lang w:val="en-GB" w:eastAsia="en-GB"/>
              </w:rPr>
              <w:t>1</w:t>
            </w:r>
          </w:p>
        </w:tc>
        <w:tc>
          <w:tcPr>
            <w:tcW w:w="1158" w:type="dxa"/>
            <w:shd w:val="clear" w:color="auto" w:fill="auto"/>
            <w:vAlign w:val="center"/>
          </w:tcPr>
          <w:p w:rsidR="002E1FE8" w:rsidRPr="00A42B3C" w:rsidRDefault="002E1FE8" w:rsidP="002E1FE8">
            <w:pPr>
              <w:jc w:val="center"/>
              <w:rPr>
                <w:rFonts w:asciiTheme="majorHAnsi" w:hAnsiTheme="majorHAnsi" w:cstheme="majorHAnsi"/>
                <w:b/>
                <w:bCs/>
                <w:color w:val="000000"/>
                <w:sz w:val="14"/>
                <w:szCs w:val="14"/>
                <w:lang w:val="en-GB"/>
              </w:rPr>
            </w:pPr>
            <w:r w:rsidRPr="00A42B3C">
              <w:rPr>
                <w:rFonts w:asciiTheme="majorHAnsi" w:hAnsiTheme="majorHAnsi" w:cstheme="majorHAnsi"/>
                <w:b/>
                <w:bCs/>
                <w:color w:val="000000"/>
                <w:sz w:val="14"/>
                <w:szCs w:val="14"/>
                <w:lang w:val="en-GB"/>
              </w:rPr>
              <w:t>CRR Art. 129. new (3a) OC</w:t>
            </w:r>
          </w:p>
        </w:tc>
        <w:tc>
          <w:tcPr>
            <w:tcW w:w="2551" w:type="dxa"/>
            <w:shd w:val="clear" w:color="auto" w:fill="auto"/>
          </w:tcPr>
          <w:p w:rsidR="002E1FE8" w:rsidRPr="00A42B3C" w:rsidRDefault="002E1FE8" w:rsidP="002E1FE8">
            <w:pPr>
              <w:rPr>
                <w:rFonts w:asciiTheme="majorHAnsi" w:hAnsiTheme="majorHAnsi" w:cstheme="majorHAnsi"/>
                <w:color w:val="000000"/>
                <w:sz w:val="14"/>
                <w:szCs w:val="14"/>
                <w:lang w:val="en-GB"/>
              </w:rPr>
            </w:pPr>
            <w:r w:rsidRPr="00A42B3C">
              <w:rPr>
                <w:rFonts w:asciiTheme="majorHAnsi" w:hAnsiTheme="majorHAnsi" w:cstheme="majorHAnsi"/>
                <w:color w:val="000000"/>
                <w:sz w:val="14"/>
                <w:szCs w:val="14"/>
                <w:lang w:val="en-GB"/>
              </w:rPr>
              <w:t>COM: "Competent authorities designated pursuant</w:t>
            </w:r>
            <w:r w:rsidRPr="00A42B3C">
              <w:rPr>
                <w:rFonts w:asciiTheme="majorHAnsi" w:hAnsiTheme="majorHAnsi" w:cstheme="majorHAnsi"/>
                <w:color w:val="000000"/>
                <w:sz w:val="14"/>
                <w:szCs w:val="14"/>
                <w:lang w:val="en-GB"/>
              </w:rPr>
              <w:br/>
              <w:t>to Article 18(2) of Directive (EU)</w:t>
            </w:r>
            <w:r w:rsidRPr="00A42B3C">
              <w:rPr>
                <w:rFonts w:asciiTheme="majorHAnsi" w:hAnsiTheme="majorHAnsi" w:cstheme="majorHAnsi"/>
                <w:color w:val="000000"/>
                <w:sz w:val="14"/>
                <w:szCs w:val="14"/>
                <w:lang w:val="en-GB"/>
              </w:rPr>
              <w:br/>
              <w:t>20xx/xxx [OP: Please insert reference to</w:t>
            </w:r>
            <w:r w:rsidRPr="00A42B3C">
              <w:rPr>
                <w:rFonts w:asciiTheme="majorHAnsi" w:hAnsiTheme="majorHAnsi" w:cstheme="majorHAnsi"/>
                <w:color w:val="000000"/>
                <w:sz w:val="14"/>
                <w:szCs w:val="14"/>
                <w:lang w:val="en-GB"/>
              </w:rPr>
              <w:br/>
              <w:t>Directive (EU) on the issue of covered</w:t>
            </w:r>
            <w:r w:rsidRPr="00A42B3C">
              <w:rPr>
                <w:rFonts w:asciiTheme="majorHAnsi" w:hAnsiTheme="majorHAnsi" w:cstheme="majorHAnsi"/>
                <w:color w:val="000000"/>
                <w:sz w:val="14"/>
                <w:szCs w:val="14"/>
                <w:lang w:val="en-GB"/>
              </w:rPr>
              <w:br/>
              <w:t>bonds and covered bond public supervision</w:t>
            </w:r>
            <w:r w:rsidRPr="00A42B3C">
              <w:rPr>
                <w:rFonts w:asciiTheme="majorHAnsi" w:hAnsiTheme="majorHAnsi" w:cstheme="majorHAnsi"/>
                <w:color w:val="000000"/>
                <w:sz w:val="14"/>
                <w:szCs w:val="14"/>
                <w:lang w:val="en-GB"/>
              </w:rPr>
              <w:br/>
              <w:t>and amending Directive 2009/65/EC and</w:t>
            </w:r>
            <w:r w:rsidRPr="00A42B3C">
              <w:rPr>
                <w:rFonts w:asciiTheme="majorHAnsi" w:hAnsiTheme="majorHAnsi" w:cstheme="majorHAnsi"/>
                <w:color w:val="000000"/>
                <w:sz w:val="14"/>
                <w:szCs w:val="14"/>
                <w:lang w:val="en-GB"/>
              </w:rPr>
              <w:br/>
              <w:t>Directive 2014/59/EU] may decide to</w:t>
            </w:r>
            <w:r w:rsidRPr="00A42B3C">
              <w:rPr>
                <w:rFonts w:asciiTheme="majorHAnsi" w:hAnsiTheme="majorHAnsi" w:cstheme="majorHAnsi"/>
                <w:color w:val="000000"/>
                <w:sz w:val="14"/>
                <w:szCs w:val="14"/>
                <w:lang w:val="en-GB"/>
              </w:rPr>
              <w:br/>
              <w:t>apply a lower minimum level of</w:t>
            </w:r>
            <w:r w:rsidRPr="00A42B3C">
              <w:rPr>
                <w:rFonts w:asciiTheme="majorHAnsi" w:hAnsiTheme="majorHAnsi" w:cstheme="majorHAnsi"/>
                <w:color w:val="000000"/>
                <w:sz w:val="14"/>
                <w:szCs w:val="14"/>
                <w:lang w:val="en-GB"/>
              </w:rPr>
              <w:br/>
              <w:t>overcollateralisation to covered bonds</w:t>
            </w:r>
            <w:r w:rsidRPr="00A42B3C">
              <w:rPr>
                <w:rFonts w:asciiTheme="majorHAnsi" w:hAnsiTheme="majorHAnsi" w:cstheme="majorHAnsi"/>
                <w:color w:val="000000"/>
                <w:sz w:val="14"/>
                <w:szCs w:val="14"/>
                <w:lang w:val="en-GB"/>
              </w:rPr>
              <w:br/>
              <w:t>provided that the following conditions are</w:t>
            </w:r>
            <w:r w:rsidRPr="00A42B3C">
              <w:rPr>
                <w:rFonts w:asciiTheme="majorHAnsi" w:hAnsiTheme="majorHAnsi" w:cstheme="majorHAnsi"/>
                <w:color w:val="000000"/>
                <w:sz w:val="14"/>
                <w:szCs w:val="14"/>
                <w:lang w:val="en-GB"/>
              </w:rPr>
              <w:br/>
              <w:t>met:"</w:t>
            </w:r>
          </w:p>
        </w:tc>
        <w:tc>
          <w:tcPr>
            <w:tcW w:w="2977" w:type="dxa"/>
            <w:shd w:val="clear" w:color="auto" w:fill="auto"/>
          </w:tcPr>
          <w:p w:rsidR="002E1FE8" w:rsidRPr="00A42B3C" w:rsidRDefault="002E1FE8" w:rsidP="002E1FE8">
            <w:pPr>
              <w:rPr>
                <w:rFonts w:asciiTheme="majorHAnsi" w:hAnsiTheme="majorHAnsi" w:cstheme="majorHAnsi"/>
                <w:color w:val="000000"/>
                <w:sz w:val="14"/>
                <w:szCs w:val="14"/>
                <w:lang w:val="en-GB"/>
              </w:rPr>
            </w:pPr>
            <w:r w:rsidRPr="00A42B3C">
              <w:rPr>
                <w:rFonts w:asciiTheme="majorHAnsi" w:hAnsiTheme="majorHAnsi" w:cstheme="majorHAnsi"/>
                <w:color w:val="000000"/>
                <w:sz w:val="14"/>
                <w:szCs w:val="14"/>
                <w:lang w:val="en-GB"/>
              </w:rPr>
              <w:t xml:space="preserve">We support the </w:t>
            </w:r>
            <w:r w:rsidR="00716156" w:rsidRPr="00A42B3C">
              <w:rPr>
                <w:rFonts w:asciiTheme="majorHAnsi" w:hAnsiTheme="majorHAnsi" w:cstheme="majorHAnsi"/>
                <w:color w:val="000000"/>
                <w:sz w:val="14"/>
                <w:szCs w:val="14"/>
                <w:lang w:val="en-GB"/>
              </w:rPr>
              <w:t>additional</w:t>
            </w:r>
            <w:r w:rsidRPr="00A42B3C">
              <w:rPr>
                <w:rFonts w:asciiTheme="majorHAnsi" w:hAnsiTheme="majorHAnsi" w:cstheme="majorHAnsi"/>
                <w:color w:val="000000"/>
                <w:sz w:val="14"/>
                <w:szCs w:val="14"/>
                <w:lang w:val="en-GB"/>
              </w:rPr>
              <w:t xml:space="preserve"> amendments made by the EP, where </w:t>
            </w:r>
            <w:r w:rsidRPr="00A42B3C">
              <w:rPr>
                <w:rFonts w:asciiTheme="majorHAnsi" w:hAnsiTheme="majorHAnsi" w:cstheme="majorHAnsi"/>
                <w:i/>
                <w:iCs/>
                <w:color w:val="000000"/>
                <w:sz w:val="14"/>
                <w:szCs w:val="14"/>
                <w:lang w:val="en-GB"/>
              </w:rPr>
              <w:t>the Member States may decide to apply</w:t>
            </w:r>
            <w:r w:rsidRPr="00A42B3C">
              <w:rPr>
                <w:rFonts w:asciiTheme="majorHAnsi" w:hAnsiTheme="majorHAnsi" w:cstheme="majorHAnsi"/>
                <w:color w:val="000000"/>
                <w:sz w:val="14"/>
                <w:szCs w:val="14"/>
                <w:lang w:val="en-GB"/>
              </w:rPr>
              <w:t xml:space="preserve"> a lower minimum level of overcollateralisation to covered bonds or may authorise their competent authorities designated pursuant to Article 18(2) of Directive (EU) 20xx/xxx[OP: Please insert reference to Directive (EU) on the issue of covered bonds and covered bond public supervision and amending Directive 2009/65/EC and Directive 2014/59/EU] to do so, provided that the following conditions are met.</w:t>
            </w:r>
          </w:p>
        </w:tc>
        <w:tc>
          <w:tcPr>
            <w:tcW w:w="2977" w:type="dxa"/>
            <w:shd w:val="clear" w:color="auto" w:fill="auto"/>
            <w:vAlign w:val="center"/>
          </w:tcPr>
          <w:p w:rsidR="002E1FE8" w:rsidRPr="00A42B3C" w:rsidRDefault="002E1FE8" w:rsidP="002E1FE8">
            <w:pPr>
              <w:jc w:val="both"/>
              <w:rPr>
                <w:rFonts w:asciiTheme="majorHAnsi" w:hAnsiTheme="majorHAnsi" w:cstheme="majorHAnsi"/>
                <w:sz w:val="14"/>
                <w:szCs w:val="16"/>
                <w:lang w:val="en-GB"/>
              </w:rPr>
            </w:pPr>
            <w:r w:rsidRPr="00A42B3C">
              <w:rPr>
                <w:rFonts w:asciiTheme="majorHAnsi" w:hAnsiTheme="majorHAnsi" w:cstheme="majorHAnsi"/>
                <w:sz w:val="14"/>
                <w:szCs w:val="16"/>
                <w:lang w:val="en-GB"/>
              </w:rPr>
              <w:t>Agree with the EP. There is more democratic scrutiny if Member States lay out the OC requirements in</w:t>
            </w:r>
          </w:p>
          <w:p w:rsidR="002E1FE8" w:rsidRPr="00A42B3C" w:rsidRDefault="002E1FE8" w:rsidP="002E1FE8">
            <w:pPr>
              <w:jc w:val="both"/>
              <w:rPr>
                <w:rFonts w:asciiTheme="majorHAnsi" w:hAnsiTheme="majorHAnsi" w:cstheme="majorHAnsi"/>
                <w:sz w:val="14"/>
                <w:szCs w:val="16"/>
                <w:lang w:val="en-GB"/>
              </w:rPr>
            </w:pPr>
            <w:r w:rsidRPr="00A42B3C">
              <w:rPr>
                <w:rFonts w:asciiTheme="majorHAnsi" w:hAnsiTheme="majorHAnsi" w:cstheme="majorHAnsi"/>
                <w:sz w:val="14"/>
                <w:szCs w:val="16"/>
                <w:lang w:val="en-GB"/>
              </w:rPr>
              <w:t>legislative acts rather than leave the decision to the discretion of a competent authority.</w:t>
            </w:r>
          </w:p>
        </w:tc>
        <w:tc>
          <w:tcPr>
            <w:tcW w:w="992" w:type="dxa"/>
            <w:shd w:val="clear" w:color="auto" w:fill="auto"/>
            <w:vAlign w:val="center"/>
          </w:tcPr>
          <w:p w:rsidR="002E1FE8" w:rsidRPr="00A42B3C" w:rsidRDefault="002E1FE8" w:rsidP="002E1FE8">
            <w:pPr>
              <w:jc w:val="both"/>
              <w:rPr>
                <w:rFonts w:asciiTheme="majorHAnsi" w:hAnsiTheme="majorHAnsi" w:cstheme="majorHAnsi"/>
                <w:sz w:val="14"/>
                <w:szCs w:val="16"/>
                <w:lang w:val="en-GB"/>
              </w:rPr>
            </w:pPr>
            <w:r w:rsidRPr="00A42B3C">
              <w:rPr>
                <w:rFonts w:asciiTheme="majorHAnsi" w:hAnsiTheme="majorHAnsi" w:cstheme="majorHAnsi"/>
                <w:sz w:val="14"/>
                <w:szCs w:val="16"/>
                <w:lang w:val="en-GB"/>
              </w:rPr>
              <w:t>high</w:t>
            </w:r>
          </w:p>
        </w:tc>
        <w:tc>
          <w:tcPr>
            <w:tcW w:w="1843" w:type="dxa"/>
            <w:shd w:val="clear" w:color="auto" w:fill="auto"/>
            <w:vAlign w:val="center"/>
          </w:tcPr>
          <w:p w:rsidR="002E1FE8" w:rsidRPr="00A42B3C" w:rsidRDefault="002E1FE8" w:rsidP="002E1FE8">
            <w:pPr>
              <w:jc w:val="both"/>
              <w:rPr>
                <w:rFonts w:asciiTheme="majorHAnsi" w:hAnsiTheme="majorHAnsi" w:cstheme="majorHAnsi"/>
                <w:sz w:val="14"/>
                <w:szCs w:val="16"/>
                <w:lang w:val="en-GB"/>
              </w:rPr>
            </w:pPr>
            <w:r w:rsidRPr="00A42B3C">
              <w:rPr>
                <w:rFonts w:asciiTheme="majorHAnsi" w:hAnsiTheme="majorHAnsi" w:cstheme="majorHAnsi"/>
                <w:sz w:val="14"/>
                <w:szCs w:val="16"/>
                <w:lang w:val="en-GB"/>
              </w:rPr>
              <w:t>See EP text</w:t>
            </w:r>
          </w:p>
        </w:tc>
        <w:tc>
          <w:tcPr>
            <w:tcW w:w="708" w:type="dxa"/>
            <w:vAlign w:val="center"/>
          </w:tcPr>
          <w:p w:rsidR="002E1FE8" w:rsidRPr="00A42B3C" w:rsidRDefault="002E1FE8" w:rsidP="002E1FE8">
            <w:pPr>
              <w:jc w:val="both"/>
              <w:rPr>
                <w:rFonts w:asciiTheme="majorHAnsi" w:hAnsiTheme="majorHAnsi" w:cstheme="majorHAnsi"/>
                <w:b/>
                <w:bCs/>
                <w:color w:val="000000"/>
                <w:sz w:val="14"/>
                <w:szCs w:val="16"/>
                <w:lang w:val="en-GB"/>
              </w:rPr>
            </w:pPr>
            <w:r w:rsidRPr="00A42B3C">
              <w:rPr>
                <w:rFonts w:asciiTheme="majorHAnsi" w:hAnsiTheme="majorHAnsi" w:cstheme="majorHAnsi"/>
                <w:b/>
                <w:bCs/>
                <w:color w:val="000000"/>
                <w:sz w:val="14"/>
                <w:szCs w:val="16"/>
                <w:lang w:val="en-GB"/>
              </w:rPr>
              <w:t>EU</w:t>
            </w:r>
          </w:p>
        </w:tc>
      </w:tr>
      <w:tr w:rsidR="002E1FE8" w:rsidRPr="00A42B3C" w:rsidTr="00006B2D">
        <w:trPr>
          <w:trHeight w:val="475"/>
        </w:trPr>
        <w:tc>
          <w:tcPr>
            <w:tcW w:w="964" w:type="dxa"/>
            <w:vAlign w:val="center"/>
          </w:tcPr>
          <w:p w:rsidR="002E1FE8" w:rsidRPr="00A42B3C" w:rsidRDefault="002E1FE8" w:rsidP="002E1FE8">
            <w:pPr>
              <w:rPr>
                <w:rFonts w:asciiTheme="majorHAnsi" w:hAnsiTheme="majorHAnsi" w:cstheme="majorHAnsi"/>
                <w:color w:val="000000"/>
                <w:sz w:val="14"/>
                <w:szCs w:val="16"/>
                <w:lang w:val="en-GB" w:eastAsia="en-GB"/>
              </w:rPr>
            </w:pPr>
            <w:r w:rsidRPr="00A42B3C">
              <w:rPr>
                <w:rFonts w:asciiTheme="majorHAnsi" w:hAnsiTheme="majorHAnsi" w:cstheme="majorHAnsi"/>
                <w:color w:val="000000"/>
                <w:sz w:val="14"/>
                <w:szCs w:val="16"/>
                <w:lang w:val="en-GB" w:eastAsia="en-GB"/>
              </w:rPr>
              <w:t>2</w:t>
            </w:r>
          </w:p>
        </w:tc>
        <w:tc>
          <w:tcPr>
            <w:tcW w:w="1158" w:type="dxa"/>
            <w:shd w:val="clear" w:color="auto" w:fill="auto"/>
            <w:vAlign w:val="center"/>
          </w:tcPr>
          <w:p w:rsidR="002E1FE8" w:rsidRPr="00A42B3C" w:rsidRDefault="002E1FE8" w:rsidP="002E1FE8">
            <w:pPr>
              <w:jc w:val="center"/>
              <w:rPr>
                <w:rFonts w:ascii="Calibri" w:hAnsi="Calibri" w:cs="Calibri"/>
                <w:b/>
                <w:bCs/>
                <w:color w:val="000000"/>
                <w:sz w:val="14"/>
                <w:szCs w:val="20"/>
                <w:lang w:val="en-GB"/>
              </w:rPr>
            </w:pPr>
            <w:r w:rsidRPr="00A42B3C">
              <w:rPr>
                <w:rFonts w:ascii="Calibri" w:hAnsi="Calibri" w:cs="Calibri"/>
                <w:b/>
                <w:bCs/>
                <w:color w:val="000000"/>
                <w:sz w:val="14"/>
                <w:szCs w:val="20"/>
                <w:lang w:val="en-GB"/>
              </w:rPr>
              <w:t>Directive Art. 16. Liquidity buffer</w:t>
            </w:r>
          </w:p>
        </w:tc>
        <w:tc>
          <w:tcPr>
            <w:tcW w:w="2551" w:type="dxa"/>
            <w:shd w:val="clear" w:color="auto" w:fill="auto"/>
          </w:tcPr>
          <w:p w:rsidR="002E1FE8" w:rsidRPr="00A42B3C" w:rsidRDefault="002E1FE8" w:rsidP="002E1FE8">
            <w:pPr>
              <w:rPr>
                <w:rFonts w:ascii="Calibri" w:hAnsi="Calibri" w:cs="Calibri"/>
                <w:color w:val="000000"/>
                <w:sz w:val="14"/>
                <w:szCs w:val="20"/>
                <w:lang w:val="en-GB"/>
              </w:rPr>
            </w:pPr>
            <w:r w:rsidRPr="00A42B3C">
              <w:rPr>
                <w:rFonts w:ascii="Calibri" w:hAnsi="Calibri" w:cs="Calibri"/>
                <w:color w:val="000000"/>
                <w:sz w:val="14"/>
                <w:szCs w:val="20"/>
                <w:lang w:val="en-GB"/>
              </w:rPr>
              <w:t xml:space="preserve">COM "Member States shall ensure investor protection by requiring that the cover pool includes at all times a liquidity buffer composed of liquid assets available to cover the net liquidity outflow of the covered bond </w:t>
            </w:r>
            <w:r w:rsidR="00716156">
              <w:rPr>
                <w:rFonts w:ascii="Calibri" w:hAnsi="Calibri" w:cs="Calibri"/>
                <w:color w:val="000000"/>
                <w:sz w:val="14"/>
                <w:szCs w:val="20"/>
                <w:lang w:val="en-GB"/>
              </w:rPr>
              <w:t>programme.</w:t>
            </w:r>
          </w:p>
        </w:tc>
        <w:tc>
          <w:tcPr>
            <w:tcW w:w="2977" w:type="dxa"/>
            <w:shd w:val="clear" w:color="auto" w:fill="auto"/>
          </w:tcPr>
          <w:p w:rsidR="002E1FE8" w:rsidRPr="00A42B3C" w:rsidRDefault="002E1FE8" w:rsidP="002E1FE8">
            <w:pPr>
              <w:rPr>
                <w:rFonts w:ascii="Calibri" w:hAnsi="Calibri" w:cs="Calibri"/>
                <w:color w:val="000000"/>
                <w:sz w:val="14"/>
                <w:szCs w:val="20"/>
                <w:lang w:val="en-GB"/>
              </w:rPr>
            </w:pPr>
            <w:r w:rsidRPr="00A42B3C">
              <w:rPr>
                <w:rFonts w:ascii="Calibri" w:hAnsi="Calibri" w:cs="Calibri"/>
                <w:color w:val="000000"/>
                <w:sz w:val="14"/>
                <w:szCs w:val="20"/>
                <w:lang w:val="en-GB"/>
              </w:rPr>
              <w:t xml:space="preserve">The liquidity buffer of the cover pool must provide for at least 180 days cover for net liquidity </w:t>
            </w:r>
            <w:r w:rsidR="00716156" w:rsidRPr="00A42B3C">
              <w:rPr>
                <w:rFonts w:ascii="Calibri" w:hAnsi="Calibri" w:cs="Calibri"/>
                <w:color w:val="000000"/>
                <w:sz w:val="14"/>
                <w:szCs w:val="20"/>
                <w:lang w:val="en-GB"/>
              </w:rPr>
              <w:t>outflows and</w:t>
            </w:r>
            <w:r w:rsidRPr="00A42B3C">
              <w:rPr>
                <w:rFonts w:ascii="Calibri" w:hAnsi="Calibri" w:cs="Calibri"/>
                <w:color w:val="000000"/>
                <w:sz w:val="14"/>
                <w:szCs w:val="20"/>
                <w:lang w:val="en-GB"/>
              </w:rPr>
              <w:t xml:space="preserve"> may include liquid </w:t>
            </w:r>
            <w:r w:rsidR="00716156" w:rsidRPr="00A42B3C">
              <w:rPr>
                <w:rFonts w:ascii="Calibri" w:hAnsi="Calibri" w:cs="Calibri"/>
                <w:color w:val="000000"/>
                <w:sz w:val="14"/>
                <w:szCs w:val="20"/>
                <w:lang w:val="en-GB"/>
              </w:rPr>
              <w:t>assets. In</w:t>
            </w:r>
            <w:r w:rsidRPr="00A42B3C">
              <w:rPr>
                <w:rFonts w:ascii="Calibri" w:hAnsi="Calibri" w:cs="Calibri"/>
                <w:color w:val="000000"/>
                <w:sz w:val="14"/>
                <w:szCs w:val="20"/>
                <w:lang w:val="en-GB"/>
              </w:rPr>
              <w:t xml:space="preserve"> countries applying the non-universal model the liquidity requirement covering the net cash outflow is less plausible, since it overly restricts the operation of mortgage credit institutions appearing as separate institutions. Considering that liquidity requirements are applicable to mortgage credit institutions, they can only be supported only if liquidity requirements can be met at group level.</w:t>
            </w:r>
          </w:p>
        </w:tc>
        <w:tc>
          <w:tcPr>
            <w:tcW w:w="2977" w:type="dxa"/>
            <w:shd w:val="clear" w:color="auto" w:fill="auto"/>
            <w:vAlign w:val="center"/>
          </w:tcPr>
          <w:p w:rsidR="002E1FE8" w:rsidRPr="00A42B3C" w:rsidRDefault="002E1FE8" w:rsidP="002E1FE8">
            <w:pPr>
              <w:jc w:val="both"/>
              <w:rPr>
                <w:rFonts w:asciiTheme="majorHAnsi" w:hAnsiTheme="majorHAnsi" w:cstheme="majorHAnsi"/>
                <w:sz w:val="14"/>
                <w:szCs w:val="16"/>
                <w:lang w:val="en-GB"/>
              </w:rPr>
            </w:pPr>
          </w:p>
        </w:tc>
        <w:tc>
          <w:tcPr>
            <w:tcW w:w="992" w:type="dxa"/>
            <w:shd w:val="clear" w:color="auto" w:fill="auto"/>
            <w:vAlign w:val="center"/>
          </w:tcPr>
          <w:p w:rsidR="002E1FE8" w:rsidRPr="00A42B3C" w:rsidRDefault="002E1FE8" w:rsidP="002E1FE8">
            <w:pPr>
              <w:jc w:val="both"/>
              <w:rPr>
                <w:rFonts w:asciiTheme="majorHAnsi" w:hAnsiTheme="majorHAnsi" w:cstheme="majorHAnsi"/>
                <w:sz w:val="14"/>
                <w:szCs w:val="16"/>
                <w:lang w:val="en-GB"/>
              </w:rPr>
            </w:pPr>
            <w:r w:rsidRPr="00A42B3C">
              <w:rPr>
                <w:rFonts w:asciiTheme="majorHAnsi" w:hAnsiTheme="majorHAnsi" w:cstheme="majorHAnsi"/>
                <w:sz w:val="14"/>
                <w:szCs w:val="16"/>
                <w:lang w:val="en-GB"/>
              </w:rPr>
              <w:t>high</w:t>
            </w:r>
          </w:p>
        </w:tc>
        <w:tc>
          <w:tcPr>
            <w:tcW w:w="1843" w:type="dxa"/>
            <w:shd w:val="clear" w:color="auto" w:fill="auto"/>
            <w:vAlign w:val="center"/>
          </w:tcPr>
          <w:p w:rsidR="002E1FE8" w:rsidRPr="00A42B3C" w:rsidRDefault="002E1FE8" w:rsidP="002E1FE8">
            <w:pPr>
              <w:jc w:val="both"/>
              <w:rPr>
                <w:rFonts w:asciiTheme="majorHAnsi" w:hAnsiTheme="majorHAnsi" w:cstheme="majorHAnsi"/>
                <w:sz w:val="14"/>
                <w:szCs w:val="16"/>
                <w:lang w:val="en-GB"/>
              </w:rPr>
            </w:pPr>
          </w:p>
        </w:tc>
        <w:tc>
          <w:tcPr>
            <w:tcW w:w="708" w:type="dxa"/>
            <w:vAlign w:val="center"/>
          </w:tcPr>
          <w:p w:rsidR="002E1FE8" w:rsidRPr="00A42B3C" w:rsidRDefault="002E1FE8" w:rsidP="002E1FE8">
            <w:pPr>
              <w:jc w:val="both"/>
              <w:rPr>
                <w:rFonts w:asciiTheme="majorHAnsi" w:hAnsiTheme="majorHAnsi" w:cstheme="majorHAnsi"/>
                <w:b/>
                <w:bCs/>
                <w:color w:val="000000"/>
                <w:sz w:val="14"/>
                <w:szCs w:val="16"/>
                <w:lang w:val="en-GB"/>
              </w:rPr>
            </w:pPr>
            <w:r w:rsidRPr="00A42B3C">
              <w:rPr>
                <w:rFonts w:asciiTheme="majorHAnsi" w:hAnsiTheme="majorHAnsi" w:cstheme="majorHAnsi"/>
                <w:b/>
                <w:bCs/>
                <w:color w:val="000000"/>
                <w:sz w:val="14"/>
                <w:szCs w:val="16"/>
                <w:lang w:val="en-GB"/>
              </w:rPr>
              <w:t>EU</w:t>
            </w:r>
          </w:p>
        </w:tc>
      </w:tr>
      <w:tr w:rsidR="002E1FE8" w:rsidRPr="00A42B3C" w:rsidTr="00006B2D">
        <w:trPr>
          <w:trHeight w:val="475"/>
        </w:trPr>
        <w:tc>
          <w:tcPr>
            <w:tcW w:w="964" w:type="dxa"/>
            <w:vAlign w:val="center"/>
          </w:tcPr>
          <w:p w:rsidR="002E1FE8" w:rsidRPr="00A42B3C" w:rsidRDefault="002E1FE8" w:rsidP="002E1FE8">
            <w:pPr>
              <w:rPr>
                <w:rFonts w:asciiTheme="majorHAnsi" w:hAnsiTheme="majorHAnsi" w:cstheme="majorHAnsi"/>
                <w:color w:val="000000"/>
                <w:sz w:val="14"/>
                <w:szCs w:val="16"/>
                <w:lang w:val="en-GB" w:eastAsia="en-GB"/>
              </w:rPr>
            </w:pPr>
            <w:r w:rsidRPr="00A42B3C">
              <w:rPr>
                <w:rFonts w:asciiTheme="majorHAnsi" w:hAnsiTheme="majorHAnsi" w:cstheme="majorHAnsi"/>
                <w:color w:val="000000"/>
                <w:sz w:val="14"/>
                <w:szCs w:val="16"/>
                <w:lang w:val="en-GB" w:eastAsia="en-GB"/>
              </w:rPr>
              <w:t>3</w:t>
            </w:r>
          </w:p>
        </w:tc>
        <w:tc>
          <w:tcPr>
            <w:tcW w:w="1158" w:type="dxa"/>
            <w:shd w:val="clear" w:color="auto" w:fill="auto"/>
            <w:vAlign w:val="center"/>
          </w:tcPr>
          <w:p w:rsidR="002E1FE8" w:rsidRPr="00A42B3C" w:rsidRDefault="002E1FE8" w:rsidP="002E1FE8">
            <w:pPr>
              <w:rPr>
                <w:rFonts w:ascii="Calibri" w:hAnsi="Calibri" w:cs="Calibri"/>
                <w:b/>
                <w:bCs/>
                <w:color w:val="000000"/>
                <w:sz w:val="14"/>
                <w:szCs w:val="20"/>
                <w:lang w:val="en-GB"/>
              </w:rPr>
            </w:pPr>
            <w:r w:rsidRPr="00A42B3C">
              <w:rPr>
                <w:rFonts w:ascii="Calibri" w:hAnsi="Calibri" w:cs="Calibri"/>
                <w:b/>
                <w:bCs/>
                <w:color w:val="000000"/>
                <w:sz w:val="14"/>
                <w:szCs w:val="20"/>
                <w:lang w:val="en-GB"/>
              </w:rPr>
              <w:t>Directive Art. 10.  homogeneity</w:t>
            </w:r>
          </w:p>
        </w:tc>
        <w:tc>
          <w:tcPr>
            <w:tcW w:w="2551" w:type="dxa"/>
            <w:shd w:val="clear" w:color="auto" w:fill="auto"/>
            <w:vAlign w:val="center"/>
          </w:tcPr>
          <w:p w:rsidR="002E1FE8" w:rsidRPr="00A42B3C" w:rsidRDefault="002E1FE8" w:rsidP="002E1FE8">
            <w:pPr>
              <w:rPr>
                <w:rFonts w:ascii="Calibri" w:hAnsi="Calibri" w:cs="Calibri"/>
                <w:color w:val="000000"/>
                <w:sz w:val="14"/>
                <w:szCs w:val="20"/>
                <w:lang w:val="en-GB"/>
              </w:rPr>
            </w:pPr>
            <w:r w:rsidRPr="00A42B3C">
              <w:rPr>
                <w:rFonts w:ascii="Calibri" w:hAnsi="Calibri" w:cs="Calibri"/>
                <w:color w:val="000000"/>
                <w:sz w:val="14"/>
                <w:szCs w:val="20"/>
                <w:lang w:val="en-GB"/>
              </w:rPr>
              <w:t>Member States shall ensure investor protection by providing for a sufficient level of homogeneity of the assets in the cover pool so that they shall be of a similar nature in terms of structural features, lifetime of assets or risk profile.</w:t>
            </w:r>
          </w:p>
        </w:tc>
        <w:tc>
          <w:tcPr>
            <w:tcW w:w="2977" w:type="dxa"/>
            <w:shd w:val="clear" w:color="auto" w:fill="auto"/>
          </w:tcPr>
          <w:p w:rsidR="002E1FE8" w:rsidRPr="00A42B3C" w:rsidRDefault="002E1FE8" w:rsidP="002E1FE8">
            <w:pPr>
              <w:rPr>
                <w:rFonts w:ascii="Calibri" w:hAnsi="Calibri" w:cs="Calibri"/>
                <w:color w:val="000000"/>
                <w:sz w:val="14"/>
                <w:szCs w:val="20"/>
                <w:lang w:val="en-GB"/>
              </w:rPr>
            </w:pPr>
            <w:r w:rsidRPr="00A42B3C">
              <w:rPr>
                <w:rFonts w:ascii="Calibri" w:hAnsi="Calibri" w:cs="Calibri"/>
                <w:color w:val="000000"/>
                <w:sz w:val="14"/>
                <w:szCs w:val="20"/>
                <w:lang w:val="en-GB"/>
              </w:rPr>
              <w:t>Currently there is no requirement for such cover pool break down, it can only be decided on supporting it the details are disclosed.  It is a question whether it means several cover pools. If homogeneity means a requirement to segregate pools based on asset types, like ships from properties, than we support.</w:t>
            </w:r>
          </w:p>
        </w:tc>
        <w:tc>
          <w:tcPr>
            <w:tcW w:w="2977" w:type="dxa"/>
            <w:shd w:val="clear" w:color="auto" w:fill="auto"/>
            <w:vAlign w:val="center"/>
          </w:tcPr>
          <w:p w:rsidR="002E1FE8" w:rsidRPr="00A42B3C" w:rsidRDefault="002E1FE8" w:rsidP="002E1FE8">
            <w:pPr>
              <w:jc w:val="both"/>
              <w:rPr>
                <w:rFonts w:asciiTheme="majorHAnsi" w:hAnsiTheme="majorHAnsi" w:cstheme="majorHAnsi"/>
                <w:sz w:val="14"/>
                <w:szCs w:val="16"/>
                <w:lang w:val="en-GB"/>
              </w:rPr>
            </w:pPr>
          </w:p>
        </w:tc>
        <w:tc>
          <w:tcPr>
            <w:tcW w:w="992" w:type="dxa"/>
            <w:shd w:val="clear" w:color="auto" w:fill="auto"/>
            <w:vAlign w:val="center"/>
          </w:tcPr>
          <w:p w:rsidR="002E1FE8" w:rsidRPr="00A42B3C" w:rsidRDefault="002E1FE8" w:rsidP="002E1FE8">
            <w:pPr>
              <w:jc w:val="both"/>
              <w:rPr>
                <w:rFonts w:asciiTheme="majorHAnsi" w:hAnsiTheme="majorHAnsi" w:cstheme="majorHAnsi"/>
                <w:sz w:val="14"/>
                <w:szCs w:val="16"/>
                <w:lang w:val="en-GB"/>
              </w:rPr>
            </w:pPr>
            <w:r w:rsidRPr="00A42B3C">
              <w:rPr>
                <w:rFonts w:asciiTheme="majorHAnsi" w:hAnsiTheme="majorHAnsi" w:cstheme="majorHAnsi"/>
                <w:sz w:val="14"/>
                <w:szCs w:val="16"/>
                <w:lang w:val="en-GB"/>
              </w:rPr>
              <w:t>high</w:t>
            </w:r>
          </w:p>
        </w:tc>
        <w:tc>
          <w:tcPr>
            <w:tcW w:w="1843" w:type="dxa"/>
            <w:shd w:val="clear" w:color="auto" w:fill="auto"/>
            <w:vAlign w:val="center"/>
          </w:tcPr>
          <w:p w:rsidR="002E1FE8" w:rsidRPr="00A42B3C" w:rsidRDefault="002E1FE8" w:rsidP="002E1FE8">
            <w:pPr>
              <w:jc w:val="both"/>
              <w:rPr>
                <w:rFonts w:asciiTheme="majorHAnsi" w:hAnsiTheme="majorHAnsi" w:cstheme="majorHAnsi"/>
                <w:sz w:val="14"/>
                <w:szCs w:val="16"/>
                <w:lang w:val="en-GB"/>
              </w:rPr>
            </w:pPr>
          </w:p>
        </w:tc>
        <w:tc>
          <w:tcPr>
            <w:tcW w:w="708" w:type="dxa"/>
            <w:vAlign w:val="center"/>
          </w:tcPr>
          <w:p w:rsidR="002E1FE8" w:rsidRPr="00A42B3C" w:rsidRDefault="002E1FE8" w:rsidP="002E1FE8">
            <w:pPr>
              <w:jc w:val="both"/>
              <w:rPr>
                <w:rFonts w:asciiTheme="majorHAnsi" w:hAnsiTheme="majorHAnsi" w:cstheme="majorHAnsi"/>
                <w:b/>
                <w:bCs/>
                <w:color w:val="000000"/>
                <w:sz w:val="14"/>
                <w:szCs w:val="16"/>
                <w:lang w:val="en-GB"/>
              </w:rPr>
            </w:pPr>
          </w:p>
        </w:tc>
      </w:tr>
      <w:tr w:rsidR="002E1FE8" w:rsidRPr="00A42B3C" w:rsidTr="00006B2D">
        <w:trPr>
          <w:trHeight w:val="475"/>
        </w:trPr>
        <w:tc>
          <w:tcPr>
            <w:tcW w:w="964" w:type="dxa"/>
            <w:vAlign w:val="center"/>
          </w:tcPr>
          <w:p w:rsidR="002E1FE8" w:rsidRPr="00A42B3C" w:rsidRDefault="00E202E7" w:rsidP="002E1FE8">
            <w:pPr>
              <w:rPr>
                <w:rFonts w:asciiTheme="majorHAnsi" w:hAnsiTheme="majorHAnsi" w:cstheme="majorHAnsi"/>
                <w:color w:val="000000"/>
                <w:sz w:val="14"/>
                <w:szCs w:val="16"/>
                <w:lang w:val="en-GB" w:eastAsia="en-GB"/>
              </w:rPr>
            </w:pPr>
            <w:r w:rsidRPr="00A42B3C">
              <w:rPr>
                <w:rFonts w:asciiTheme="majorHAnsi" w:hAnsiTheme="majorHAnsi" w:cstheme="majorHAnsi"/>
                <w:color w:val="000000"/>
                <w:sz w:val="14"/>
                <w:szCs w:val="16"/>
                <w:lang w:val="en-GB" w:eastAsia="en-GB"/>
              </w:rPr>
              <w:t>4</w:t>
            </w:r>
          </w:p>
        </w:tc>
        <w:tc>
          <w:tcPr>
            <w:tcW w:w="1158" w:type="dxa"/>
            <w:shd w:val="clear" w:color="auto" w:fill="auto"/>
            <w:vAlign w:val="center"/>
          </w:tcPr>
          <w:p w:rsidR="002E1FE8" w:rsidRPr="00A42B3C" w:rsidRDefault="002E1FE8" w:rsidP="002E1FE8">
            <w:pPr>
              <w:jc w:val="center"/>
              <w:rPr>
                <w:rFonts w:ascii="Calibri" w:hAnsi="Calibri" w:cs="Calibri"/>
                <w:b/>
                <w:bCs/>
                <w:color w:val="000000"/>
                <w:sz w:val="14"/>
                <w:szCs w:val="20"/>
                <w:lang w:val="en-GB"/>
              </w:rPr>
            </w:pPr>
            <w:r w:rsidRPr="00A42B3C">
              <w:rPr>
                <w:rFonts w:ascii="Calibri" w:hAnsi="Calibri" w:cs="Calibri"/>
                <w:b/>
                <w:bCs/>
                <w:color w:val="000000"/>
                <w:sz w:val="14"/>
                <w:szCs w:val="20"/>
                <w:lang w:val="en-GB"/>
              </w:rPr>
              <w:t>Level playing field (many articles, where there is a discretion to MS)</w:t>
            </w:r>
          </w:p>
        </w:tc>
        <w:tc>
          <w:tcPr>
            <w:tcW w:w="2551" w:type="dxa"/>
            <w:shd w:val="clear" w:color="auto" w:fill="auto"/>
          </w:tcPr>
          <w:p w:rsidR="002E1FE8" w:rsidRPr="00A42B3C" w:rsidRDefault="002E1FE8" w:rsidP="002E1FE8">
            <w:pPr>
              <w:rPr>
                <w:rFonts w:ascii="Calibri" w:hAnsi="Calibri" w:cs="Calibri"/>
                <w:color w:val="000000"/>
                <w:sz w:val="14"/>
                <w:szCs w:val="20"/>
                <w:lang w:val="en-GB"/>
              </w:rPr>
            </w:pPr>
            <w:r w:rsidRPr="00A42B3C">
              <w:rPr>
                <w:rFonts w:ascii="Calibri" w:hAnsi="Calibri" w:cs="Calibri"/>
                <w:color w:val="000000"/>
                <w:sz w:val="14"/>
                <w:szCs w:val="20"/>
                <w:lang w:val="en-GB"/>
              </w:rPr>
              <w:t> </w:t>
            </w:r>
          </w:p>
        </w:tc>
        <w:tc>
          <w:tcPr>
            <w:tcW w:w="2977" w:type="dxa"/>
            <w:shd w:val="clear" w:color="auto" w:fill="auto"/>
          </w:tcPr>
          <w:p w:rsidR="002E1FE8" w:rsidRPr="00A42B3C" w:rsidRDefault="002E1FE8" w:rsidP="002E1FE8">
            <w:pPr>
              <w:rPr>
                <w:rFonts w:ascii="Calibri" w:hAnsi="Calibri" w:cs="Calibri"/>
                <w:color w:val="000000"/>
                <w:sz w:val="14"/>
                <w:szCs w:val="20"/>
                <w:lang w:val="en-GB"/>
              </w:rPr>
            </w:pPr>
            <w:r w:rsidRPr="00A42B3C">
              <w:rPr>
                <w:rFonts w:ascii="Calibri" w:hAnsi="Calibri" w:cs="Calibri"/>
                <w:color w:val="000000"/>
                <w:sz w:val="14"/>
                <w:szCs w:val="20"/>
                <w:lang w:val="en-GB"/>
              </w:rPr>
              <w:t xml:space="preserve">We believe that uniform and competition neutral regulation of matters left to Member State competence by the Directive is essential. </w:t>
            </w:r>
          </w:p>
        </w:tc>
        <w:tc>
          <w:tcPr>
            <w:tcW w:w="2977" w:type="dxa"/>
            <w:shd w:val="clear" w:color="auto" w:fill="auto"/>
            <w:vAlign w:val="center"/>
          </w:tcPr>
          <w:p w:rsidR="002E1FE8" w:rsidRPr="00A42B3C" w:rsidRDefault="002E1FE8" w:rsidP="002E1FE8">
            <w:pPr>
              <w:jc w:val="both"/>
              <w:rPr>
                <w:rFonts w:asciiTheme="majorHAnsi" w:hAnsiTheme="majorHAnsi" w:cstheme="majorHAnsi"/>
                <w:sz w:val="14"/>
                <w:szCs w:val="16"/>
                <w:lang w:val="en-GB"/>
              </w:rPr>
            </w:pPr>
          </w:p>
        </w:tc>
        <w:tc>
          <w:tcPr>
            <w:tcW w:w="992" w:type="dxa"/>
            <w:shd w:val="clear" w:color="auto" w:fill="auto"/>
            <w:vAlign w:val="center"/>
          </w:tcPr>
          <w:p w:rsidR="002E1FE8" w:rsidRPr="00A42B3C" w:rsidRDefault="002E1FE8" w:rsidP="002E1FE8">
            <w:pPr>
              <w:jc w:val="both"/>
              <w:rPr>
                <w:rFonts w:asciiTheme="majorHAnsi" w:hAnsiTheme="majorHAnsi" w:cstheme="majorHAnsi"/>
                <w:sz w:val="14"/>
                <w:szCs w:val="16"/>
                <w:lang w:val="en-GB"/>
              </w:rPr>
            </w:pPr>
            <w:r w:rsidRPr="00A42B3C">
              <w:rPr>
                <w:rFonts w:asciiTheme="majorHAnsi" w:hAnsiTheme="majorHAnsi" w:cstheme="majorHAnsi"/>
                <w:sz w:val="14"/>
                <w:szCs w:val="16"/>
                <w:lang w:val="en-GB"/>
              </w:rPr>
              <w:t>high</w:t>
            </w:r>
          </w:p>
        </w:tc>
        <w:tc>
          <w:tcPr>
            <w:tcW w:w="1843" w:type="dxa"/>
            <w:shd w:val="clear" w:color="auto" w:fill="auto"/>
            <w:vAlign w:val="center"/>
          </w:tcPr>
          <w:p w:rsidR="002E1FE8" w:rsidRPr="00A42B3C" w:rsidRDefault="002E1FE8" w:rsidP="002E1FE8">
            <w:pPr>
              <w:jc w:val="both"/>
              <w:rPr>
                <w:rFonts w:asciiTheme="majorHAnsi" w:hAnsiTheme="majorHAnsi" w:cstheme="majorHAnsi"/>
                <w:sz w:val="14"/>
                <w:szCs w:val="16"/>
                <w:lang w:val="en-GB"/>
              </w:rPr>
            </w:pPr>
          </w:p>
        </w:tc>
        <w:tc>
          <w:tcPr>
            <w:tcW w:w="708" w:type="dxa"/>
            <w:vAlign w:val="center"/>
          </w:tcPr>
          <w:p w:rsidR="002E1FE8" w:rsidRPr="00A42B3C" w:rsidRDefault="002E1FE8" w:rsidP="002E1FE8">
            <w:pPr>
              <w:jc w:val="both"/>
              <w:rPr>
                <w:rFonts w:asciiTheme="majorHAnsi" w:hAnsiTheme="majorHAnsi" w:cstheme="majorHAnsi"/>
                <w:b/>
                <w:bCs/>
                <w:color w:val="000000"/>
                <w:sz w:val="14"/>
                <w:szCs w:val="16"/>
                <w:lang w:val="en-GB"/>
              </w:rPr>
            </w:pPr>
          </w:p>
        </w:tc>
      </w:tr>
    </w:tbl>
    <w:p w:rsidR="00462474" w:rsidRPr="00A42B3C" w:rsidRDefault="00462474" w:rsidP="00752754">
      <w:pPr>
        <w:rPr>
          <w:rFonts w:asciiTheme="majorHAnsi" w:hAnsiTheme="majorHAnsi" w:cstheme="majorHAnsi"/>
          <w:i/>
          <w:sz w:val="20"/>
          <w:lang w:val="en-GB"/>
        </w:rPr>
      </w:pPr>
    </w:p>
    <w:p w:rsidR="00583F2B" w:rsidRPr="00A42B3C" w:rsidRDefault="00006B2D" w:rsidP="00752754">
      <w:pPr>
        <w:rPr>
          <w:rFonts w:asciiTheme="majorHAnsi" w:hAnsiTheme="majorHAnsi" w:cstheme="majorHAnsi"/>
          <w:i/>
          <w:sz w:val="20"/>
          <w:lang w:val="en-GB"/>
        </w:rPr>
      </w:pPr>
      <w:r w:rsidRPr="00A42B3C">
        <w:rPr>
          <w:rFonts w:asciiTheme="majorHAnsi" w:hAnsiTheme="majorHAnsi" w:cstheme="majorHAnsi"/>
          <w:i/>
          <w:sz w:val="20"/>
          <w:lang w:val="en-GB"/>
        </w:rPr>
        <w:t>Source: Hungarian Banking Association</w:t>
      </w:r>
    </w:p>
    <w:p w:rsidR="00583F2B" w:rsidRPr="00A42B3C" w:rsidRDefault="00583F2B">
      <w:pPr>
        <w:rPr>
          <w:i/>
          <w:sz w:val="20"/>
          <w:lang w:val="en-GB"/>
        </w:rPr>
      </w:pPr>
      <w:r w:rsidRPr="00A42B3C">
        <w:rPr>
          <w:i/>
          <w:sz w:val="20"/>
          <w:lang w:val="en-GB"/>
        </w:rPr>
        <w:br w:type="page"/>
      </w:r>
    </w:p>
    <w:p w:rsidR="00583F2B" w:rsidRPr="00A42B3C" w:rsidRDefault="00462474" w:rsidP="00583F2B">
      <w:pPr>
        <w:pStyle w:val="Heading1"/>
      </w:pPr>
      <w:r w:rsidRPr="00A42B3C">
        <w:lastRenderedPageBreak/>
        <w:t>Ireland</w:t>
      </w:r>
    </w:p>
    <w:tbl>
      <w:tblPr>
        <w:tblW w:w="54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1579"/>
        <w:gridCol w:w="3307"/>
        <w:gridCol w:w="1655"/>
        <w:gridCol w:w="2233"/>
        <w:gridCol w:w="893"/>
        <w:gridCol w:w="3678"/>
        <w:gridCol w:w="566"/>
      </w:tblGrid>
      <w:tr w:rsidR="00462474" w:rsidRPr="00A42B3C" w:rsidTr="00462474">
        <w:trPr>
          <w:trHeight w:val="558"/>
        </w:trPr>
        <w:tc>
          <w:tcPr>
            <w:tcW w:w="234" w:type="pct"/>
            <w:shd w:val="clear" w:color="auto" w:fill="DE821B"/>
            <w:vAlign w:val="center"/>
            <w:hideMark/>
          </w:tcPr>
          <w:p w:rsidR="00462474" w:rsidRPr="00A42B3C" w:rsidRDefault="00462474" w:rsidP="00462474">
            <w:pPr>
              <w:jc w:val="center"/>
              <w:rPr>
                <w:rFonts w:asciiTheme="majorHAnsi" w:eastAsia="Times New Roman" w:hAnsiTheme="majorHAnsi" w:cstheme="majorHAnsi"/>
                <w:b/>
                <w:bCs/>
                <w:color w:val="FFFFFF" w:themeColor="background1"/>
                <w:sz w:val="14"/>
                <w:szCs w:val="20"/>
                <w:lang w:val="en-GB" w:eastAsia="en-GB"/>
              </w:rPr>
            </w:pPr>
            <w:r w:rsidRPr="00A42B3C">
              <w:rPr>
                <w:rFonts w:asciiTheme="majorHAnsi" w:eastAsia="Times New Roman" w:hAnsiTheme="majorHAnsi" w:cstheme="majorHAnsi"/>
                <w:b/>
                <w:bCs/>
                <w:color w:val="FFFFFF" w:themeColor="background1"/>
                <w:sz w:val="14"/>
                <w:szCs w:val="20"/>
                <w:lang w:val="en-GB" w:eastAsia="en-GB"/>
              </w:rPr>
              <w:t>Ranking of priority</w:t>
            </w:r>
          </w:p>
        </w:tc>
        <w:tc>
          <w:tcPr>
            <w:tcW w:w="541" w:type="pct"/>
            <w:shd w:val="clear" w:color="auto" w:fill="DE821B"/>
            <w:vAlign w:val="center"/>
            <w:hideMark/>
          </w:tcPr>
          <w:p w:rsidR="00462474" w:rsidRPr="00A42B3C" w:rsidRDefault="00462474" w:rsidP="00462474">
            <w:pPr>
              <w:jc w:val="center"/>
              <w:rPr>
                <w:rFonts w:asciiTheme="majorHAnsi" w:eastAsia="Times New Roman" w:hAnsiTheme="majorHAnsi" w:cstheme="majorHAnsi"/>
                <w:b/>
                <w:bCs/>
                <w:color w:val="FFFFFF" w:themeColor="background1"/>
                <w:sz w:val="14"/>
                <w:szCs w:val="20"/>
                <w:lang w:val="en-GB" w:eastAsia="en-GB"/>
              </w:rPr>
            </w:pPr>
            <w:r w:rsidRPr="00A42B3C">
              <w:rPr>
                <w:rFonts w:asciiTheme="majorHAnsi" w:eastAsia="Times New Roman" w:hAnsiTheme="majorHAnsi" w:cstheme="majorHAnsi"/>
                <w:b/>
                <w:bCs/>
                <w:color w:val="FFFFFF" w:themeColor="background1"/>
                <w:sz w:val="14"/>
                <w:szCs w:val="20"/>
                <w:lang w:val="en-GB" w:eastAsia="en-GB"/>
              </w:rPr>
              <w:t>Location</w:t>
            </w:r>
          </w:p>
        </w:tc>
        <w:tc>
          <w:tcPr>
            <w:tcW w:w="1133" w:type="pct"/>
            <w:shd w:val="clear" w:color="auto" w:fill="DE821B"/>
            <w:vAlign w:val="center"/>
            <w:hideMark/>
          </w:tcPr>
          <w:p w:rsidR="00462474" w:rsidRPr="00A42B3C" w:rsidRDefault="00462474" w:rsidP="00462474">
            <w:pPr>
              <w:jc w:val="center"/>
              <w:rPr>
                <w:rFonts w:asciiTheme="majorHAnsi" w:eastAsia="Times New Roman" w:hAnsiTheme="majorHAnsi" w:cstheme="majorHAnsi"/>
                <w:b/>
                <w:bCs/>
                <w:color w:val="FFFFFF" w:themeColor="background1"/>
                <w:sz w:val="14"/>
                <w:szCs w:val="20"/>
                <w:lang w:val="en-GB" w:eastAsia="en-GB"/>
              </w:rPr>
            </w:pPr>
            <w:r w:rsidRPr="00A42B3C">
              <w:rPr>
                <w:rFonts w:asciiTheme="majorHAnsi" w:eastAsia="Times New Roman" w:hAnsiTheme="majorHAnsi" w:cstheme="majorHAnsi"/>
                <w:b/>
                <w:bCs/>
                <w:color w:val="FFFFFF" w:themeColor="background1"/>
                <w:sz w:val="14"/>
                <w:szCs w:val="20"/>
                <w:lang w:val="en-GB" w:eastAsia="en-GB"/>
              </w:rPr>
              <w:t>Precise passage concerned</w:t>
            </w:r>
          </w:p>
        </w:tc>
        <w:tc>
          <w:tcPr>
            <w:tcW w:w="567" w:type="pct"/>
            <w:shd w:val="clear" w:color="auto" w:fill="DE821B"/>
            <w:vAlign w:val="center"/>
            <w:hideMark/>
          </w:tcPr>
          <w:p w:rsidR="00462474" w:rsidRPr="00A42B3C" w:rsidRDefault="00462474" w:rsidP="00462474">
            <w:pPr>
              <w:jc w:val="center"/>
              <w:rPr>
                <w:rFonts w:asciiTheme="majorHAnsi" w:eastAsia="Times New Roman" w:hAnsiTheme="majorHAnsi" w:cstheme="majorHAnsi"/>
                <w:b/>
                <w:bCs/>
                <w:color w:val="FFFFFF" w:themeColor="background1"/>
                <w:sz w:val="14"/>
                <w:szCs w:val="20"/>
                <w:lang w:val="en-GB" w:eastAsia="en-GB"/>
              </w:rPr>
            </w:pPr>
            <w:r w:rsidRPr="00A42B3C">
              <w:rPr>
                <w:rFonts w:asciiTheme="majorHAnsi" w:eastAsia="Times New Roman" w:hAnsiTheme="majorHAnsi" w:cstheme="majorHAnsi"/>
                <w:b/>
                <w:bCs/>
                <w:color w:val="FFFFFF" w:themeColor="background1"/>
                <w:sz w:val="14"/>
                <w:szCs w:val="20"/>
                <w:lang w:val="en-GB" w:eastAsia="en-GB"/>
              </w:rPr>
              <w:t>Description of the Issue</w:t>
            </w:r>
          </w:p>
        </w:tc>
        <w:tc>
          <w:tcPr>
            <w:tcW w:w="765" w:type="pct"/>
            <w:shd w:val="clear" w:color="auto" w:fill="DE821B"/>
            <w:vAlign w:val="center"/>
            <w:hideMark/>
          </w:tcPr>
          <w:p w:rsidR="00462474" w:rsidRPr="00A42B3C" w:rsidRDefault="00462474" w:rsidP="00462474">
            <w:pPr>
              <w:jc w:val="center"/>
              <w:rPr>
                <w:rFonts w:asciiTheme="majorHAnsi" w:eastAsia="Times New Roman" w:hAnsiTheme="majorHAnsi" w:cstheme="majorHAnsi"/>
                <w:b/>
                <w:bCs/>
                <w:color w:val="FFFFFF" w:themeColor="background1"/>
                <w:sz w:val="14"/>
                <w:szCs w:val="20"/>
                <w:lang w:val="en-GB" w:eastAsia="en-GB"/>
              </w:rPr>
            </w:pPr>
            <w:r w:rsidRPr="00A42B3C">
              <w:rPr>
                <w:rFonts w:asciiTheme="majorHAnsi" w:eastAsia="Times New Roman" w:hAnsiTheme="majorHAnsi" w:cstheme="majorHAnsi"/>
                <w:b/>
                <w:bCs/>
                <w:color w:val="FFFFFF" w:themeColor="background1"/>
                <w:sz w:val="14"/>
                <w:szCs w:val="20"/>
                <w:lang w:val="en-GB" w:eastAsia="en-GB"/>
              </w:rPr>
              <w:t>Justification for potential amendment</w:t>
            </w:r>
          </w:p>
        </w:tc>
        <w:tc>
          <w:tcPr>
            <w:tcW w:w="306" w:type="pct"/>
            <w:shd w:val="clear" w:color="auto" w:fill="DE821B"/>
            <w:vAlign w:val="center"/>
            <w:hideMark/>
          </w:tcPr>
          <w:p w:rsidR="00462474" w:rsidRPr="00A42B3C" w:rsidRDefault="00462474" w:rsidP="00462474">
            <w:pPr>
              <w:jc w:val="center"/>
              <w:rPr>
                <w:rFonts w:asciiTheme="majorHAnsi" w:eastAsia="Times New Roman" w:hAnsiTheme="majorHAnsi" w:cstheme="majorHAnsi"/>
                <w:b/>
                <w:bCs/>
                <w:color w:val="FFFFFF" w:themeColor="background1"/>
                <w:sz w:val="14"/>
                <w:szCs w:val="20"/>
                <w:lang w:val="en-GB" w:eastAsia="en-GB"/>
              </w:rPr>
            </w:pPr>
            <w:r w:rsidRPr="00A42B3C">
              <w:rPr>
                <w:rFonts w:asciiTheme="majorHAnsi" w:eastAsia="Times New Roman" w:hAnsiTheme="majorHAnsi" w:cstheme="majorHAnsi"/>
                <w:b/>
                <w:bCs/>
                <w:color w:val="FFFFFF" w:themeColor="background1"/>
                <w:sz w:val="14"/>
                <w:szCs w:val="20"/>
                <w:lang w:val="en-GB" w:eastAsia="en-GB"/>
              </w:rPr>
              <w:t>Level of seriousness</w:t>
            </w:r>
          </w:p>
        </w:tc>
        <w:tc>
          <w:tcPr>
            <w:tcW w:w="1260" w:type="pct"/>
            <w:shd w:val="clear" w:color="auto" w:fill="DE821B"/>
            <w:vAlign w:val="center"/>
            <w:hideMark/>
          </w:tcPr>
          <w:p w:rsidR="00462474" w:rsidRPr="00A42B3C" w:rsidRDefault="00462474" w:rsidP="00462474">
            <w:pPr>
              <w:jc w:val="center"/>
              <w:rPr>
                <w:rFonts w:asciiTheme="majorHAnsi" w:eastAsia="Times New Roman" w:hAnsiTheme="majorHAnsi" w:cstheme="majorHAnsi"/>
                <w:b/>
                <w:bCs/>
                <w:color w:val="FFFFFF" w:themeColor="background1"/>
                <w:sz w:val="14"/>
                <w:szCs w:val="20"/>
                <w:lang w:val="en-GB" w:eastAsia="en-GB"/>
              </w:rPr>
            </w:pPr>
            <w:r w:rsidRPr="00A42B3C">
              <w:rPr>
                <w:rFonts w:asciiTheme="majorHAnsi" w:eastAsia="Times New Roman" w:hAnsiTheme="majorHAnsi" w:cstheme="majorHAnsi"/>
                <w:b/>
                <w:bCs/>
                <w:color w:val="FFFFFF" w:themeColor="background1"/>
                <w:sz w:val="14"/>
                <w:szCs w:val="20"/>
                <w:lang w:val="en-GB" w:eastAsia="en-GB"/>
              </w:rPr>
              <w:t>Proposal for a wording update</w:t>
            </w:r>
          </w:p>
        </w:tc>
        <w:tc>
          <w:tcPr>
            <w:tcW w:w="194" w:type="pct"/>
            <w:shd w:val="clear" w:color="auto" w:fill="DE821B"/>
            <w:vAlign w:val="center"/>
          </w:tcPr>
          <w:p w:rsidR="00462474" w:rsidRPr="00A42B3C" w:rsidRDefault="00462474" w:rsidP="00462474">
            <w:pPr>
              <w:jc w:val="center"/>
              <w:rPr>
                <w:rFonts w:asciiTheme="majorHAnsi" w:eastAsia="Times New Roman" w:hAnsiTheme="majorHAnsi" w:cstheme="majorHAnsi"/>
                <w:b/>
                <w:bCs/>
                <w:color w:val="FFFFFF" w:themeColor="background1"/>
                <w:sz w:val="14"/>
                <w:szCs w:val="20"/>
                <w:lang w:val="en-GB" w:eastAsia="en-GB"/>
              </w:rPr>
            </w:pPr>
            <w:r w:rsidRPr="00A42B3C">
              <w:rPr>
                <w:rFonts w:asciiTheme="majorHAnsi" w:eastAsia="Times New Roman" w:hAnsiTheme="majorHAnsi" w:cstheme="majorHAnsi"/>
                <w:b/>
                <w:bCs/>
                <w:color w:val="FFFFFF" w:themeColor="background1"/>
                <w:sz w:val="14"/>
                <w:szCs w:val="20"/>
                <w:lang w:val="en-GB" w:eastAsia="en-GB"/>
              </w:rPr>
              <w:t>Scope</w:t>
            </w:r>
          </w:p>
        </w:tc>
      </w:tr>
      <w:tr w:rsidR="00462474" w:rsidRPr="00A42B3C" w:rsidTr="00462474">
        <w:trPr>
          <w:trHeight w:val="2408"/>
        </w:trPr>
        <w:tc>
          <w:tcPr>
            <w:tcW w:w="234" w:type="pct"/>
            <w:shd w:val="clear" w:color="auto" w:fill="auto"/>
            <w:vAlign w:val="center"/>
            <w:hideMark/>
          </w:tcPr>
          <w:p w:rsidR="00462474" w:rsidRPr="00A42B3C" w:rsidRDefault="00462474" w:rsidP="00462474">
            <w:pPr>
              <w:jc w:val="center"/>
              <w:rPr>
                <w:rFonts w:asciiTheme="majorHAnsi" w:eastAsia="Times New Roman" w:hAnsiTheme="majorHAnsi" w:cstheme="majorHAnsi"/>
                <w:color w:val="000000"/>
                <w:sz w:val="14"/>
                <w:szCs w:val="20"/>
                <w:lang w:val="en-GB" w:eastAsia="en-GB"/>
              </w:rPr>
            </w:pPr>
            <w:r w:rsidRPr="00A42B3C">
              <w:rPr>
                <w:rFonts w:asciiTheme="majorHAnsi" w:eastAsia="Times New Roman" w:hAnsiTheme="majorHAnsi" w:cstheme="majorHAnsi"/>
                <w:color w:val="000000"/>
                <w:sz w:val="14"/>
                <w:szCs w:val="20"/>
                <w:lang w:val="en-GB" w:eastAsia="en-GB"/>
              </w:rPr>
              <w:t>1</w:t>
            </w:r>
          </w:p>
        </w:tc>
        <w:tc>
          <w:tcPr>
            <w:tcW w:w="541" w:type="pct"/>
            <w:shd w:val="clear" w:color="auto" w:fill="auto"/>
            <w:vAlign w:val="center"/>
            <w:hideMark/>
          </w:tcPr>
          <w:p w:rsidR="00462474" w:rsidRPr="00A42B3C" w:rsidRDefault="00462474" w:rsidP="00462474">
            <w:pPr>
              <w:jc w:val="both"/>
              <w:rPr>
                <w:rFonts w:asciiTheme="majorHAnsi" w:eastAsia="Times New Roman" w:hAnsiTheme="majorHAnsi" w:cstheme="majorHAnsi"/>
                <w:color w:val="000000"/>
                <w:sz w:val="14"/>
                <w:szCs w:val="20"/>
                <w:lang w:val="en-GB" w:eastAsia="en-GB"/>
              </w:rPr>
            </w:pPr>
            <w:r w:rsidRPr="00A42B3C">
              <w:rPr>
                <w:rFonts w:asciiTheme="majorHAnsi" w:eastAsia="Times New Roman" w:hAnsiTheme="majorHAnsi" w:cstheme="majorHAnsi"/>
                <w:color w:val="000000"/>
                <w:sz w:val="14"/>
                <w:szCs w:val="20"/>
                <w:lang w:val="en-GB" w:eastAsia="en-GB"/>
              </w:rPr>
              <w:t xml:space="preserve">Directive - Article 11 - Limits on the amount of derivative contracts in the cover pool </w:t>
            </w:r>
          </w:p>
        </w:tc>
        <w:tc>
          <w:tcPr>
            <w:tcW w:w="1133" w:type="pct"/>
            <w:shd w:val="clear" w:color="auto" w:fill="auto"/>
            <w:vAlign w:val="center"/>
            <w:hideMark/>
          </w:tcPr>
          <w:p w:rsidR="00462474" w:rsidRPr="00A42B3C" w:rsidRDefault="00462474" w:rsidP="00462474">
            <w:pPr>
              <w:jc w:val="both"/>
              <w:rPr>
                <w:rFonts w:asciiTheme="majorHAnsi" w:eastAsia="Times New Roman" w:hAnsiTheme="majorHAnsi" w:cstheme="majorHAnsi"/>
                <w:color w:val="000000"/>
                <w:sz w:val="14"/>
                <w:szCs w:val="20"/>
                <w:lang w:val="en-GB" w:eastAsia="en-GB"/>
              </w:rPr>
            </w:pPr>
            <w:r w:rsidRPr="00A42B3C">
              <w:rPr>
                <w:rFonts w:asciiTheme="majorHAnsi" w:eastAsia="Times New Roman" w:hAnsiTheme="majorHAnsi" w:cstheme="majorHAnsi"/>
                <w:color w:val="000000"/>
                <w:sz w:val="14"/>
                <w:szCs w:val="20"/>
                <w:lang w:val="en-GB" w:eastAsia="en-GB"/>
              </w:rPr>
              <w:t>No amendment in the Bernd Lucke report on the matter</w:t>
            </w:r>
          </w:p>
        </w:tc>
        <w:tc>
          <w:tcPr>
            <w:tcW w:w="567" w:type="pct"/>
            <w:shd w:val="clear" w:color="auto" w:fill="auto"/>
            <w:vAlign w:val="center"/>
            <w:hideMark/>
          </w:tcPr>
          <w:p w:rsidR="00462474" w:rsidRPr="00A42B3C" w:rsidRDefault="00462474" w:rsidP="00462474">
            <w:pPr>
              <w:jc w:val="both"/>
              <w:rPr>
                <w:rFonts w:asciiTheme="majorHAnsi" w:eastAsia="Times New Roman" w:hAnsiTheme="majorHAnsi" w:cstheme="majorHAnsi"/>
                <w:color w:val="000000"/>
                <w:sz w:val="14"/>
                <w:szCs w:val="20"/>
                <w:lang w:val="en-GB" w:eastAsia="en-GB"/>
              </w:rPr>
            </w:pPr>
            <w:r w:rsidRPr="00A42B3C">
              <w:rPr>
                <w:rFonts w:asciiTheme="majorHAnsi" w:eastAsia="Times New Roman" w:hAnsiTheme="majorHAnsi" w:cstheme="majorHAnsi"/>
                <w:color w:val="000000"/>
                <w:sz w:val="14"/>
                <w:szCs w:val="20"/>
                <w:lang w:val="en-GB" w:eastAsia="en-GB"/>
              </w:rPr>
              <w:t>Limits on the amount of derivative contracts in the cover pool should be removed as proposed in the Council text.</w:t>
            </w:r>
          </w:p>
        </w:tc>
        <w:tc>
          <w:tcPr>
            <w:tcW w:w="765" w:type="pct"/>
            <w:shd w:val="clear" w:color="auto" w:fill="auto"/>
            <w:vAlign w:val="center"/>
            <w:hideMark/>
          </w:tcPr>
          <w:p w:rsidR="00462474" w:rsidRPr="00A42B3C" w:rsidRDefault="00462474" w:rsidP="00462474">
            <w:pPr>
              <w:jc w:val="both"/>
              <w:rPr>
                <w:rFonts w:asciiTheme="majorHAnsi" w:eastAsia="Times New Roman" w:hAnsiTheme="majorHAnsi" w:cstheme="majorHAnsi"/>
                <w:color w:val="000000"/>
                <w:sz w:val="14"/>
                <w:szCs w:val="20"/>
                <w:lang w:val="en-GB" w:eastAsia="en-GB"/>
              </w:rPr>
            </w:pPr>
            <w:r w:rsidRPr="00A42B3C">
              <w:rPr>
                <w:rFonts w:asciiTheme="majorHAnsi" w:eastAsia="Times New Roman" w:hAnsiTheme="majorHAnsi" w:cstheme="majorHAnsi"/>
                <w:color w:val="000000"/>
                <w:sz w:val="14"/>
                <w:szCs w:val="20"/>
                <w:lang w:val="en-GB" w:eastAsia="en-GB"/>
              </w:rPr>
              <w:t xml:space="preserve">Article 11 paragraph 2(b) outlines the requirement of derivative contracts to be “included in the cover pool exclusively for risk hedging purposes”. The obligation to set a limit on the amounts of derivatives does not seem consistent with the fact that derivatives are used only for hedging purposes and cannot be terminated upon the insolvency or resolution of the credit institution issuing the covered bonds, and hence provide additional protection to the covered bond holders. </w:t>
            </w:r>
          </w:p>
        </w:tc>
        <w:tc>
          <w:tcPr>
            <w:tcW w:w="306" w:type="pct"/>
            <w:shd w:val="clear" w:color="auto" w:fill="auto"/>
            <w:vAlign w:val="center"/>
            <w:hideMark/>
          </w:tcPr>
          <w:p w:rsidR="00462474" w:rsidRPr="00A42B3C" w:rsidRDefault="00462474" w:rsidP="00462474">
            <w:pPr>
              <w:jc w:val="both"/>
              <w:rPr>
                <w:rFonts w:asciiTheme="majorHAnsi" w:eastAsia="Times New Roman" w:hAnsiTheme="majorHAnsi" w:cstheme="majorHAnsi"/>
                <w:color w:val="000000"/>
                <w:sz w:val="14"/>
                <w:szCs w:val="20"/>
                <w:lang w:val="en-GB" w:eastAsia="en-GB"/>
              </w:rPr>
            </w:pPr>
            <w:r w:rsidRPr="00A42B3C">
              <w:rPr>
                <w:rFonts w:asciiTheme="majorHAnsi" w:eastAsia="Times New Roman" w:hAnsiTheme="majorHAnsi" w:cstheme="majorHAnsi"/>
                <w:color w:val="000000"/>
                <w:sz w:val="14"/>
                <w:szCs w:val="20"/>
                <w:lang w:val="en-GB" w:eastAsia="en-GB"/>
              </w:rPr>
              <w:t>High</w:t>
            </w:r>
          </w:p>
        </w:tc>
        <w:tc>
          <w:tcPr>
            <w:tcW w:w="1260" w:type="pct"/>
            <w:shd w:val="clear" w:color="auto" w:fill="auto"/>
            <w:vAlign w:val="center"/>
            <w:hideMark/>
          </w:tcPr>
          <w:p w:rsidR="00462474" w:rsidRPr="00A42B3C" w:rsidRDefault="00462474" w:rsidP="00462474">
            <w:pPr>
              <w:jc w:val="both"/>
              <w:rPr>
                <w:rFonts w:asciiTheme="majorHAnsi" w:eastAsia="Times New Roman" w:hAnsiTheme="majorHAnsi" w:cstheme="majorHAnsi"/>
                <w:b/>
                <w:bCs/>
                <w:color w:val="000000"/>
                <w:sz w:val="14"/>
                <w:szCs w:val="20"/>
                <w:lang w:val="en-GB" w:eastAsia="en-GB"/>
              </w:rPr>
            </w:pPr>
            <w:r w:rsidRPr="00A42B3C">
              <w:rPr>
                <w:rFonts w:asciiTheme="majorHAnsi" w:eastAsia="Times New Roman" w:hAnsiTheme="majorHAnsi" w:cstheme="majorHAnsi"/>
                <w:b/>
                <w:bCs/>
                <w:strike/>
                <w:color w:val="000000"/>
                <w:sz w:val="14"/>
                <w:szCs w:val="20"/>
                <w:lang w:val="en-GB" w:eastAsia="en-GB"/>
              </w:rPr>
              <w:t>(b) the limits on the amount of derivative contracts in the cover pool;</w:t>
            </w:r>
          </w:p>
        </w:tc>
        <w:tc>
          <w:tcPr>
            <w:tcW w:w="194" w:type="pct"/>
            <w:vAlign w:val="center"/>
          </w:tcPr>
          <w:p w:rsidR="00462474" w:rsidRPr="00A42B3C" w:rsidRDefault="00462474" w:rsidP="00462474">
            <w:pPr>
              <w:jc w:val="both"/>
              <w:rPr>
                <w:rFonts w:asciiTheme="majorHAnsi" w:eastAsia="Times New Roman" w:hAnsiTheme="majorHAnsi" w:cstheme="majorHAnsi"/>
                <w:color w:val="000000"/>
                <w:sz w:val="14"/>
                <w:szCs w:val="20"/>
                <w:lang w:val="en-GB" w:eastAsia="en-GB"/>
              </w:rPr>
            </w:pPr>
            <w:r w:rsidRPr="00A42B3C">
              <w:rPr>
                <w:rFonts w:asciiTheme="majorHAnsi" w:eastAsia="Times New Roman" w:hAnsiTheme="majorHAnsi" w:cstheme="majorHAnsi"/>
                <w:color w:val="000000"/>
                <w:sz w:val="14"/>
                <w:szCs w:val="20"/>
                <w:lang w:val="en-GB" w:eastAsia="en-GB"/>
              </w:rPr>
              <w:t>EU</w:t>
            </w:r>
          </w:p>
        </w:tc>
      </w:tr>
      <w:tr w:rsidR="00462474" w:rsidRPr="00A42B3C" w:rsidTr="00462474">
        <w:trPr>
          <w:trHeight w:val="2246"/>
        </w:trPr>
        <w:tc>
          <w:tcPr>
            <w:tcW w:w="234" w:type="pct"/>
            <w:shd w:val="clear" w:color="auto" w:fill="auto"/>
            <w:vAlign w:val="center"/>
            <w:hideMark/>
          </w:tcPr>
          <w:p w:rsidR="00462474" w:rsidRPr="00A42B3C" w:rsidRDefault="00462474" w:rsidP="00462474">
            <w:pPr>
              <w:jc w:val="center"/>
              <w:rPr>
                <w:rFonts w:asciiTheme="majorHAnsi" w:eastAsia="Times New Roman" w:hAnsiTheme="majorHAnsi" w:cstheme="majorHAnsi"/>
                <w:color w:val="000000"/>
                <w:sz w:val="14"/>
                <w:szCs w:val="20"/>
                <w:lang w:val="en-GB" w:eastAsia="en-GB"/>
              </w:rPr>
            </w:pPr>
            <w:r w:rsidRPr="00A42B3C">
              <w:rPr>
                <w:rFonts w:asciiTheme="majorHAnsi" w:eastAsia="Times New Roman" w:hAnsiTheme="majorHAnsi" w:cstheme="majorHAnsi"/>
                <w:color w:val="000000"/>
                <w:sz w:val="14"/>
                <w:szCs w:val="20"/>
                <w:lang w:val="en-GB" w:eastAsia="en-GB"/>
              </w:rPr>
              <w:t>2</w:t>
            </w:r>
          </w:p>
        </w:tc>
        <w:tc>
          <w:tcPr>
            <w:tcW w:w="541" w:type="pct"/>
            <w:shd w:val="clear" w:color="auto" w:fill="auto"/>
            <w:vAlign w:val="center"/>
            <w:hideMark/>
          </w:tcPr>
          <w:p w:rsidR="00462474" w:rsidRPr="00A42B3C" w:rsidRDefault="004C7DBE" w:rsidP="00462474">
            <w:pPr>
              <w:jc w:val="both"/>
              <w:rPr>
                <w:rFonts w:asciiTheme="majorHAnsi" w:eastAsia="Times New Roman" w:hAnsiTheme="majorHAnsi" w:cstheme="majorHAnsi"/>
                <w:color w:val="000000"/>
                <w:sz w:val="14"/>
                <w:szCs w:val="20"/>
                <w:lang w:val="en-GB" w:eastAsia="en-GB"/>
              </w:rPr>
            </w:pPr>
            <w:r w:rsidRPr="00A42B3C">
              <w:rPr>
                <w:rFonts w:asciiTheme="majorHAnsi" w:eastAsia="Times New Roman" w:hAnsiTheme="majorHAnsi" w:cstheme="majorHAnsi"/>
                <w:color w:val="000000"/>
                <w:sz w:val="14"/>
                <w:szCs w:val="20"/>
                <w:lang w:val="en-GB" w:eastAsia="en-GB"/>
              </w:rPr>
              <w:t>Article 1(1) a) iii) in the Regulation, proposing amendments to CRR art 129, paragraph 1, subparagraph 3. No provision for step 2 as per article 129.1a CRR (under Regulation) and current article 129(1)(c) CRR.  Under article 129 1(c)/1(a) step 2 exposures are restricted to maturities up to 100 days, but step 2 exposures should be capable of covering the first 100 days of the liquidity buffer of 180 days required under article 16 Directive.</w:t>
            </w:r>
          </w:p>
        </w:tc>
        <w:tc>
          <w:tcPr>
            <w:tcW w:w="1133" w:type="pct"/>
            <w:shd w:val="clear" w:color="auto" w:fill="auto"/>
            <w:vAlign w:val="center"/>
            <w:hideMark/>
          </w:tcPr>
          <w:p w:rsidR="00462474" w:rsidRPr="00A42B3C" w:rsidRDefault="004C7DBE" w:rsidP="00462474">
            <w:pPr>
              <w:jc w:val="both"/>
              <w:rPr>
                <w:rFonts w:asciiTheme="majorHAnsi" w:eastAsia="Times New Roman" w:hAnsiTheme="majorHAnsi" w:cstheme="majorHAnsi"/>
                <w:color w:val="000000"/>
                <w:sz w:val="14"/>
                <w:szCs w:val="20"/>
                <w:lang w:val="en-GB" w:eastAsia="en-GB"/>
              </w:rPr>
            </w:pPr>
            <w:r w:rsidRPr="00A42B3C">
              <w:rPr>
                <w:rFonts w:asciiTheme="majorHAnsi" w:eastAsia="Times New Roman" w:hAnsiTheme="majorHAnsi" w:cstheme="majorHAnsi"/>
                <w:color w:val="000000"/>
                <w:sz w:val="14"/>
                <w:szCs w:val="20"/>
                <w:lang w:val="en-GB" w:eastAsia="en-GB"/>
              </w:rPr>
              <w:t>Bernd Lucke cannot support the proposal from the Commission to allow a use of credit quality step 2 exposures to credit institutions without documentation of problems with concentration risk in the market and without notifying EBA. It is proposed to give a possibility to use credit quality 2 exposures but only in times of stress and temporarily.</w:t>
            </w:r>
          </w:p>
        </w:tc>
        <w:tc>
          <w:tcPr>
            <w:tcW w:w="567" w:type="pct"/>
            <w:shd w:val="clear" w:color="auto" w:fill="auto"/>
            <w:vAlign w:val="center"/>
            <w:hideMark/>
          </w:tcPr>
          <w:p w:rsidR="00462474" w:rsidRPr="00A42B3C" w:rsidRDefault="00462474" w:rsidP="00462474">
            <w:pPr>
              <w:jc w:val="both"/>
              <w:rPr>
                <w:rFonts w:asciiTheme="majorHAnsi" w:eastAsia="Times New Roman" w:hAnsiTheme="majorHAnsi" w:cstheme="majorHAnsi"/>
                <w:color w:val="000000"/>
                <w:sz w:val="14"/>
                <w:szCs w:val="20"/>
                <w:lang w:val="en-GB" w:eastAsia="en-GB"/>
              </w:rPr>
            </w:pPr>
            <w:r w:rsidRPr="00A42B3C">
              <w:rPr>
                <w:rFonts w:asciiTheme="majorHAnsi" w:eastAsia="Times New Roman" w:hAnsiTheme="majorHAnsi" w:cstheme="majorHAnsi"/>
                <w:color w:val="000000"/>
                <w:sz w:val="14"/>
                <w:szCs w:val="20"/>
                <w:lang w:val="en-GB" w:eastAsia="en-GB"/>
              </w:rPr>
              <w:t>It is important to be able to use exposures to credit institutions of credit quality step 2 on a permanent basis and not only in times of stress.</w:t>
            </w:r>
          </w:p>
        </w:tc>
        <w:tc>
          <w:tcPr>
            <w:tcW w:w="765" w:type="pct"/>
            <w:shd w:val="clear" w:color="auto" w:fill="auto"/>
            <w:vAlign w:val="center"/>
            <w:hideMark/>
          </w:tcPr>
          <w:p w:rsidR="00462474" w:rsidRPr="00A42B3C" w:rsidRDefault="00462474" w:rsidP="00462474">
            <w:pPr>
              <w:jc w:val="both"/>
              <w:rPr>
                <w:rFonts w:asciiTheme="majorHAnsi" w:eastAsia="Times New Roman" w:hAnsiTheme="majorHAnsi" w:cstheme="majorHAnsi"/>
                <w:color w:val="000000"/>
                <w:sz w:val="14"/>
                <w:szCs w:val="20"/>
                <w:lang w:val="en-GB" w:eastAsia="en-GB"/>
              </w:rPr>
            </w:pPr>
            <w:r w:rsidRPr="00A42B3C">
              <w:rPr>
                <w:rFonts w:asciiTheme="majorHAnsi" w:eastAsia="Times New Roman" w:hAnsiTheme="majorHAnsi" w:cstheme="majorHAnsi"/>
                <w:color w:val="000000"/>
                <w:sz w:val="14"/>
                <w:szCs w:val="20"/>
                <w:lang w:val="en-GB" w:eastAsia="en-GB"/>
              </w:rPr>
              <w:t>If exposures were to be confines to credit institutions meeting credit quality step 1 it would be increasingly challenging to impossible to meet.</w:t>
            </w:r>
          </w:p>
        </w:tc>
        <w:tc>
          <w:tcPr>
            <w:tcW w:w="306" w:type="pct"/>
            <w:shd w:val="clear" w:color="auto" w:fill="auto"/>
            <w:vAlign w:val="center"/>
            <w:hideMark/>
          </w:tcPr>
          <w:p w:rsidR="00462474" w:rsidRPr="00A42B3C" w:rsidRDefault="00462474" w:rsidP="00462474">
            <w:pPr>
              <w:jc w:val="both"/>
              <w:rPr>
                <w:rFonts w:asciiTheme="majorHAnsi" w:eastAsia="Times New Roman" w:hAnsiTheme="majorHAnsi" w:cstheme="majorHAnsi"/>
                <w:color w:val="000000"/>
                <w:sz w:val="14"/>
                <w:szCs w:val="20"/>
                <w:lang w:val="en-GB" w:eastAsia="en-GB"/>
              </w:rPr>
            </w:pPr>
            <w:r w:rsidRPr="00A42B3C">
              <w:rPr>
                <w:rFonts w:asciiTheme="majorHAnsi" w:eastAsia="Times New Roman" w:hAnsiTheme="majorHAnsi" w:cstheme="majorHAnsi"/>
                <w:color w:val="000000"/>
                <w:sz w:val="14"/>
                <w:szCs w:val="20"/>
                <w:lang w:val="en-GB" w:eastAsia="en-GB"/>
              </w:rPr>
              <w:t>High</w:t>
            </w:r>
          </w:p>
        </w:tc>
        <w:tc>
          <w:tcPr>
            <w:tcW w:w="1260" w:type="pct"/>
            <w:shd w:val="clear" w:color="auto" w:fill="auto"/>
            <w:vAlign w:val="center"/>
            <w:hideMark/>
          </w:tcPr>
          <w:p w:rsidR="00462474" w:rsidRPr="00A42B3C" w:rsidRDefault="00462474" w:rsidP="00462474">
            <w:pPr>
              <w:jc w:val="both"/>
              <w:rPr>
                <w:rFonts w:asciiTheme="majorHAnsi" w:eastAsia="Times New Roman" w:hAnsiTheme="majorHAnsi" w:cstheme="majorHAnsi"/>
                <w:b/>
                <w:bCs/>
                <w:color w:val="000000"/>
                <w:sz w:val="14"/>
                <w:szCs w:val="20"/>
                <w:lang w:val="en-GB" w:eastAsia="en-GB"/>
              </w:rPr>
            </w:pPr>
            <w:r w:rsidRPr="00A42B3C">
              <w:rPr>
                <w:rFonts w:asciiTheme="majorHAnsi" w:eastAsia="Times New Roman" w:hAnsiTheme="majorHAnsi" w:cstheme="majorHAnsi"/>
                <w:b/>
                <w:bCs/>
                <w:strike/>
                <w:color w:val="000000"/>
                <w:sz w:val="14"/>
                <w:szCs w:val="20"/>
                <w:lang w:val="en-GB" w:eastAsia="en-GB"/>
              </w:rPr>
              <w:t>If significant concentration problems in some Member States can be documented due to the application of the credit quality step 1 requirement referred to in point (c) of the first subparagraph</w:t>
            </w:r>
            <w:r w:rsidRPr="00A42B3C">
              <w:rPr>
                <w:rFonts w:asciiTheme="majorHAnsi" w:eastAsia="Times New Roman" w:hAnsiTheme="majorHAnsi" w:cstheme="majorHAnsi"/>
                <w:color w:val="000000"/>
                <w:sz w:val="14"/>
                <w:szCs w:val="20"/>
                <w:lang w:val="en-GB" w:eastAsia="en-GB"/>
              </w:rPr>
              <w:t xml:space="preserve">, EBA may, for all credit institutions concerned </w:t>
            </w:r>
            <w:r w:rsidRPr="00A42B3C">
              <w:rPr>
                <w:rFonts w:asciiTheme="majorHAnsi" w:eastAsia="Times New Roman" w:hAnsiTheme="majorHAnsi" w:cstheme="majorHAnsi"/>
                <w:strike/>
                <w:color w:val="000000"/>
                <w:sz w:val="14"/>
                <w:szCs w:val="20"/>
                <w:lang w:val="en-GB" w:eastAsia="en-GB"/>
              </w:rPr>
              <w:t>and for a period of at most three years</w:t>
            </w:r>
            <w:r w:rsidRPr="00A42B3C">
              <w:rPr>
                <w:rFonts w:asciiTheme="majorHAnsi" w:eastAsia="Times New Roman" w:hAnsiTheme="majorHAnsi" w:cstheme="majorHAnsi"/>
                <w:color w:val="000000"/>
                <w:sz w:val="14"/>
                <w:szCs w:val="20"/>
                <w:lang w:val="en-GB" w:eastAsia="en-GB"/>
              </w:rPr>
              <w:t>, waive the application of</w:t>
            </w:r>
            <w:r w:rsidRPr="00A42B3C">
              <w:rPr>
                <w:rFonts w:asciiTheme="majorHAnsi" w:eastAsia="Times New Roman" w:hAnsiTheme="majorHAnsi" w:cstheme="majorHAnsi"/>
                <w:b/>
                <w:bCs/>
                <w:color w:val="000000"/>
                <w:sz w:val="14"/>
                <w:szCs w:val="20"/>
                <w:lang w:val="en-GB" w:eastAsia="en-GB"/>
              </w:rPr>
              <w:t xml:space="preserve"> point c) of the first subparagraph</w:t>
            </w:r>
            <w:r w:rsidRPr="00A42B3C">
              <w:rPr>
                <w:rFonts w:asciiTheme="majorHAnsi" w:eastAsia="Times New Roman" w:hAnsiTheme="majorHAnsi" w:cstheme="majorHAnsi"/>
                <w:color w:val="000000"/>
                <w:sz w:val="14"/>
                <w:szCs w:val="20"/>
                <w:lang w:val="en-GB" w:eastAsia="en-GB"/>
              </w:rPr>
              <w:t xml:space="preserve"> </w:t>
            </w:r>
            <w:r w:rsidRPr="00A42B3C">
              <w:rPr>
                <w:rFonts w:asciiTheme="majorHAnsi" w:eastAsia="Times New Roman" w:hAnsiTheme="majorHAnsi" w:cstheme="majorHAnsi"/>
                <w:strike/>
                <w:color w:val="000000"/>
                <w:sz w:val="14"/>
                <w:szCs w:val="20"/>
                <w:lang w:val="en-GB" w:eastAsia="en-GB"/>
              </w:rPr>
              <w:t>this subparagrap</w:t>
            </w:r>
            <w:r w:rsidRPr="00A42B3C">
              <w:rPr>
                <w:rFonts w:asciiTheme="majorHAnsi" w:eastAsia="Times New Roman" w:hAnsiTheme="majorHAnsi" w:cstheme="majorHAnsi"/>
                <w:color w:val="000000"/>
                <w:sz w:val="14"/>
                <w:szCs w:val="20"/>
                <w:lang w:val="en-GB" w:eastAsia="en-GB"/>
              </w:rPr>
              <w:t xml:space="preserve">h and allow credit quality step 2 exposures for up to 10% of the total exposure of the nominal amount of outstanding covered bonds of the issuing institution. </w:t>
            </w:r>
            <w:r w:rsidRPr="00A42B3C">
              <w:rPr>
                <w:rFonts w:asciiTheme="majorHAnsi" w:eastAsia="Times New Roman" w:hAnsiTheme="majorHAnsi" w:cstheme="majorHAnsi"/>
                <w:strike/>
                <w:color w:val="000000"/>
                <w:sz w:val="14"/>
                <w:szCs w:val="20"/>
                <w:lang w:val="en-GB" w:eastAsia="en-GB"/>
              </w:rPr>
              <w:t>EBA may repeal this decision any time, provided it grants credit institutions an adequate transition period.</w:t>
            </w:r>
          </w:p>
        </w:tc>
        <w:tc>
          <w:tcPr>
            <w:tcW w:w="194" w:type="pct"/>
            <w:vAlign w:val="center"/>
          </w:tcPr>
          <w:p w:rsidR="00462474" w:rsidRPr="00A42B3C" w:rsidRDefault="00462474" w:rsidP="00462474">
            <w:pPr>
              <w:jc w:val="both"/>
              <w:rPr>
                <w:rFonts w:asciiTheme="majorHAnsi" w:eastAsia="Times New Roman" w:hAnsiTheme="majorHAnsi" w:cstheme="majorHAnsi"/>
                <w:color w:val="000000"/>
                <w:sz w:val="14"/>
                <w:szCs w:val="20"/>
                <w:lang w:val="en-GB" w:eastAsia="en-GB"/>
              </w:rPr>
            </w:pPr>
            <w:r w:rsidRPr="00A42B3C">
              <w:rPr>
                <w:rFonts w:asciiTheme="majorHAnsi" w:eastAsia="Times New Roman" w:hAnsiTheme="majorHAnsi" w:cstheme="majorHAnsi"/>
                <w:color w:val="000000"/>
                <w:sz w:val="14"/>
                <w:szCs w:val="20"/>
                <w:lang w:val="en-GB" w:eastAsia="en-GB"/>
              </w:rPr>
              <w:t>EU</w:t>
            </w:r>
          </w:p>
        </w:tc>
      </w:tr>
      <w:tr w:rsidR="00462474" w:rsidRPr="00A42B3C" w:rsidTr="00462474">
        <w:trPr>
          <w:trHeight w:val="3122"/>
        </w:trPr>
        <w:tc>
          <w:tcPr>
            <w:tcW w:w="234" w:type="pct"/>
            <w:shd w:val="clear" w:color="auto" w:fill="auto"/>
            <w:vAlign w:val="center"/>
            <w:hideMark/>
          </w:tcPr>
          <w:p w:rsidR="00462474" w:rsidRPr="00A42B3C" w:rsidRDefault="00462474" w:rsidP="00462474">
            <w:pPr>
              <w:jc w:val="center"/>
              <w:rPr>
                <w:rFonts w:asciiTheme="majorHAnsi" w:eastAsia="Times New Roman" w:hAnsiTheme="majorHAnsi" w:cstheme="majorHAnsi"/>
                <w:color w:val="000000"/>
                <w:sz w:val="14"/>
                <w:szCs w:val="20"/>
                <w:lang w:val="en-GB" w:eastAsia="en-GB"/>
              </w:rPr>
            </w:pPr>
            <w:r w:rsidRPr="00A42B3C">
              <w:rPr>
                <w:rFonts w:asciiTheme="majorHAnsi" w:eastAsia="Times New Roman" w:hAnsiTheme="majorHAnsi" w:cstheme="majorHAnsi"/>
                <w:color w:val="000000"/>
                <w:sz w:val="14"/>
                <w:szCs w:val="20"/>
                <w:lang w:val="en-GB" w:eastAsia="en-GB"/>
              </w:rPr>
              <w:lastRenderedPageBreak/>
              <w:t>3</w:t>
            </w:r>
          </w:p>
        </w:tc>
        <w:tc>
          <w:tcPr>
            <w:tcW w:w="541" w:type="pct"/>
            <w:shd w:val="clear" w:color="auto" w:fill="auto"/>
            <w:vAlign w:val="center"/>
            <w:hideMark/>
          </w:tcPr>
          <w:p w:rsidR="00462474" w:rsidRPr="00A42B3C" w:rsidRDefault="00462474" w:rsidP="00462474">
            <w:pPr>
              <w:jc w:val="both"/>
              <w:rPr>
                <w:rFonts w:asciiTheme="majorHAnsi" w:eastAsia="Times New Roman" w:hAnsiTheme="majorHAnsi" w:cstheme="majorHAnsi"/>
                <w:color w:val="000000"/>
                <w:sz w:val="14"/>
                <w:szCs w:val="20"/>
                <w:lang w:val="en-GB" w:eastAsia="en-GB"/>
              </w:rPr>
            </w:pPr>
            <w:r w:rsidRPr="00A42B3C">
              <w:rPr>
                <w:rFonts w:asciiTheme="majorHAnsi" w:eastAsia="Times New Roman" w:hAnsiTheme="majorHAnsi" w:cstheme="majorHAnsi"/>
                <w:color w:val="000000"/>
                <w:sz w:val="14"/>
                <w:szCs w:val="20"/>
                <w:lang w:val="en-GB" w:eastAsia="en-GB"/>
              </w:rPr>
              <w:t>Article 16 in the Directive, paragraphs 3.1 a (new) and 4 (deleted)</w:t>
            </w:r>
          </w:p>
        </w:tc>
        <w:tc>
          <w:tcPr>
            <w:tcW w:w="1133" w:type="pct"/>
            <w:shd w:val="clear" w:color="auto" w:fill="auto"/>
            <w:vAlign w:val="center"/>
            <w:hideMark/>
          </w:tcPr>
          <w:p w:rsidR="00462474" w:rsidRPr="00A42B3C" w:rsidRDefault="00462474" w:rsidP="00462474">
            <w:pPr>
              <w:jc w:val="both"/>
              <w:rPr>
                <w:rFonts w:asciiTheme="majorHAnsi" w:eastAsia="Times New Roman" w:hAnsiTheme="majorHAnsi" w:cstheme="majorHAnsi"/>
                <w:color w:val="000000"/>
                <w:sz w:val="14"/>
                <w:szCs w:val="20"/>
                <w:lang w:val="en-GB" w:eastAsia="en-GB"/>
              </w:rPr>
            </w:pPr>
            <w:r w:rsidRPr="00A42B3C">
              <w:rPr>
                <w:rFonts w:asciiTheme="majorHAnsi" w:eastAsia="Times New Roman" w:hAnsiTheme="majorHAnsi" w:cstheme="majorHAnsi"/>
                <w:color w:val="000000"/>
                <w:sz w:val="14"/>
                <w:szCs w:val="20"/>
                <w:lang w:val="en-GB" w:eastAsia="en-GB"/>
              </w:rPr>
              <w:t xml:space="preserve">(New) 3.1 a </w:t>
            </w:r>
            <w:r w:rsidRPr="00A42B3C">
              <w:rPr>
                <w:rFonts w:asciiTheme="majorHAnsi" w:eastAsia="Times New Roman" w:hAnsiTheme="majorHAnsi" w:cstheme="majorHAnsi"/>
                <w:b/>
                <w:bCs/>
                <w:i/>
                <w:iCs/>
                <w:color w:val="000000"/>
                <w:sz w:val="14"/>
                <w:szCs w:val="20"/>
                <w:lang w:val="en-GB" w:eastAsia="en-GB"/>
              </w:rPr>
              <w:t>Member States shall ensure that the assets referred to in (a) will only be eligible for satisfying the cover pool liquidity buffer requirement if those assets are not essential for maintaining the credit institution’s liquidity buffer referred to in Title II of Delegated Regulation (EU) 2015/61 at least at a level equal to the “net liquidity outflows over a 30 calendar day stress period“ referred to in Article 4 of that Delegated Regulation, assuming that the net liquidity outflow of the covered bond programme over the same 30 calendar day stress period is zero on the grounds of a sufficient liquidity buffer contained in the cover pool by virtue of paragraphs 1 and 2.</w:t>
            </w:r>
            <w:r w:rsidRPr="00A42B3C">
              <w:rPr>
                <w:rFonts w:asciiTheme="majorHAnsi" w:eastAsia="Times New Roman" w:hAnsiTheme="majorHAnsi" w:cstheme="majorHAnsi"/>
                <w:i/>
                <w:iCs/>
                <w:color w:val="000000"/>
                <w:sz w:val="14"/>
                <w:szCs w:val="20"/>
                <w:lang w:val="en-GB" w:eastAsia="en-GB"/>
              </w:rPr>
              <w:t xml:space="preserve"> (Deleted) 4. Where the credit institution issuing covered bonds is subject to liquidity requirements set out in other acts of Union law, Member States may decide that the national rules transposing paragraphs 1, 2 and 3 do not apply throughout the period foreseen in those acts of Union law.</w:t>
            </w:r>
          </w:p>
        </w:tc>
        <w:tc>
          <w:tcPr>
            <w:tcW w:w="567" w:type="pct"/>
            <w:shd w:val="clear" w:color="auto" w:fill="auto"/>
            <w:vAlign w:val="center"/>
            <w:hideMark/>
          </w:tcPr>
          <w:p w:rsidR="00462474" w:rsidRPr="00A42B3C" w:rsidRDefault="00462474" w:rsidP="00462474">
            <w:pPr>
              <w:jc w:val="both"/>
              <w:rPr>
                <w:rFonts w:asciiTheme="majorHAnsi" w:eastAsia="Times New Roman" w:hAnsiTheme="majorHAnsi" w:cstheme="majorHAnsi"/>
                <w:color w:val="000000"/>
                <w:sz w:val="14"/>
                <w:szCs w:val="20"/>
                <w:lang w:val="en-GB" w:eastAsia="en-GB"/>
              </w:rPr>
            </w:pPr>
            <w:r w:rsidRPr="00A42B3C">
              <w:rPr>
                <w:rFonts w:asciiTheme="majorHAnsi" w:eastAsia="Times New Roman" w:hAnsiTheme="majorHAnsi" w:cstheme="majorHAnsi"/>
                <w:color w:val="000000"/>
                <w:sz w:val="14"/>
                <w:szCs w:val="20"/>
                <w:lang w:val="en-GB" w:eastAsia="en-GB"/>
              </w:rPr>
              <w:t>Mr Lucke’s proposed subparagraph 3 is not an adequate solution for solving the problem with 30 days' double counting. The wording in article 16(4) should be kept, but amended in line with recital 21 and thus allow the Member States to decide that the paragraphs do not apply if the credit institution is subject to liquidity requirements in other acts of Union or national law</w:t>
            </w:r>
          </w:p>
        </w:tc>
        <w:tc>
          <w:tcPr>
            <w:tcW w:w="765" w:type="pct"/>
            <w:shd w:val="clear" w:color="auto" w:fill="auto"/>
            <w:vAlign w:val="center"/>
            <w:hideMark/>
          </w:tcPr>
          <w:p w:rsidR="00462474" w:rsidRPr="00A42B3C" w:rsidRDefault="004C7DBE" w:rsidP="00462474">
            <w:pPr>
              <w:jc w:val="both"/>
              <w:rPr>
                <w:rFonts w:asciiTheme="majorHAnsi" w:eastAsia="Times New Roman" w:hAnsiTheme="majorHAnsi" w:cstheme="majorHAnsi"/>
                <w:color w:val="000000"/>
                <w:sz w:val="14"/>
                <w:szCs w:val="20"/>
                <w:lang w:val="en-GB" w:eastAsia="en-GB"/>
              </w:rPr>
            </w:pPr>
            <w:r w:rsidRPr="00A42B3C">
              <w:rPr>
                <w:rFonts w:asciiTheme="majorHAnsi" w:eastAsia="Times New Roman" w:hAnsiTheme="majorHAnsi" w:cstheme="majorHAnsi"/>
                <w:color w:val="000000"/>
                <w:sz w:val="14"/>
                <w:szCs w:val="20"/>
                <w:lang w:val="en-GB" w:eastAsia="en-GB"/>
              </w:rPr>
              <w:t xml:space="preserve">Liquidity should be managed centrally in the credit institution in accordance within the scope of legislation regarding liquidity already, and soon, in place (LCR, NSFR). Existing liquidity requirements offer sufficient bondholder protection in addition to OC and other notational requirements specifically related to </w:t>
            </w:r>
            <w:r w:rsidR="00716156" w:rsidRPr="00A42B3C">
              <w:rPr>
                <w:rFonts w:asciiTheme="majorHAnsi" w:eastAsia="Times New Roman" w:hAnsiTheme="majorHAnsi" w:cstheme="majorHAnsi"/>
                <w:color w:val="000000"/>
                <w:sz w:val="14"/>
                <w:szCs w:val="20"/>
                <w:lang w:val="en-GB" w:eastAsia="en-GB"/>
              </w:rPr>
              <w:t>cover pools</w:t>
            </w:r>
            <w:r w:rsidRPr="00A42B3C">
              <w:rPr>
                <w:rFonts w:asciiTheme="majorHAnsi" w:eastAsia="Times New Roman" w:hAnsiTheme="majorHAnsi" w:cstheme="majorHAnsi"/>
                <w:color w:val="000000"/>
                <w:sz w:val="14"/>
                <w:szCs w:val="20"/>
                <w:lang w:val="en-GB" w:eastAsia="en-GB"/>
              </w:rPr>
              <w:t>.  Implementing a liquidity buffer within the pool would increase the risk of a liquidity stress to an institution.</w:t>
            </w:r>
          </w:p>
        </w:tc>
        <w:tc>
          <w:tcPr>
            <w:tcW w:w="306" w:type="pct"/>
            <w:shd w:val="clear" w:color="auto" w:fill="auto"/>
            <w:vAlign w:val="center"/>
            <w:hideMark/>
          </w:tcPr>
          <w:p w:rsidR="00462474" w:rsidRPr="00A42B3C" w:rsidRDefault="00462474" w:rsidP="00462474">
            <w:pPr>
              <w:jc w:val="both"/>
              <w:rPr>
                <w:rFonts w:asciiTheme="majorHAnsi" w:eastAsia="Times New Roman" w:hAnsiTheme="majorHAnsi" w:cstheme="majorHAnsi"/>
                <w:color w:val="000000"/>
                <w:sz w:val="14"/>
                <w:szCs w:val="20"/>
                <w:lang w:val="en-GB" w:eastAsia="en-GB"/>
              </w:rPr>
            </w:pPr>
            <w:r w:rsidRPr="00A42B3C">
              <w:rPr>
                <w:rFonts w:asciiTheme="majorHAnsi" w:eastAsia="Times New Roman" w:hAnsiTheme="majorHAnsi" w:cstheme="majorHAnsi"/>
                <w:color w:val="000000"/>
                <w:sz w:val="14"/>
                <w:szCs w:val="20"/>
                <w:lang w:val="en-GB" w:eastAsia="en-GB"/>
              </w:rPr>
              <w:t>High</w:t>
            </w:r>
          </w:p>
        </w:tc>
        <w:tc>
          <w:tcPr>
            <w:tcW w:w="1260" w:type="pct"/>
            <w:shd w:val="clear" w:color="auto" w:fill="auto"/>
            <w:vAlign w:val="center"/>
            <w:hideMark/>
          </w:tcPr>
          <w:p w:rsidR="00462474" w:rsidRPr="00A42B3C" w:rsidRDefault="00462474" w:rsidP="00462474">
            <w:pPr>
              <w:jc w:val="both"/>
              <w:rPr>
                <w:rFonts w:asciiTheme="majorHAnsi" w:eastAsia="Times New Roman" w:hAnsiTheme="majorHAnsi" w:cstheme="majorHAnsi"/>
                <w:color w:val="000000"/>
                <w:sz w:val="14"/>
                <w:szCs w:val="20"/>
                <w:lang w:val="en-GB" w:eastAsia="en-GB"/>
              </w:rPr>
            </w:pPr>
            <w:r w:rsidRPr="00A42B3C">
              <w:rPr>
                <w:rFonts w:asciiTheme="majorHAnsi" w:eastAsia="Times New Roman" w:hAnsiTheme="majorHAnsi" w:cstheme="majorHAnsi"/>
                <w:b/>
                <w:bCs/>
                <w:color w:val="000000"/>
                <w:sz w:val="14"/>
                <w:szCs w:val="20"/>
                <w:lang w:val="en-GB" w:eastAsia="en-GB"/>
              </w:rPr>
              <w:t>[The new paragraph 3.1 a deleted]</w:t>
            </w:r>
            <w:r w:rsidRPr="00A42B3C">
              <w:rPr>
                <w:rFonts w:asciiTheme="majorHAnsi" w:eastAsia="Times New Roman" w:hAnsiTheme="majorHAnsi" w:cstheme="majorHAnsi"/>
                <w:color w:val="000000"/>
                <w:sz w:val="14"/>
                <w:szCs w:val="20"/>
                <w:lang w:val="en-GB" w:eastAsia="en-GB"/>
              </w:rPr>
              <w:t xml:space="preserve"> 4. Where the credit institution issuing covered bonds is subject to liquidity requirements set out in other acts of Union or national law, Member States may decide that the national rules transposing paragraphs 1, 2 and 3 do not apply throughout the period foreseen in those acts of Union or national law. </w:t>
            </w:r>
          </w:p>
        </w:tc>
        <w:tc>
          <w:tcPr>
            <w:tcW w:w="194" w:type="pct"/>
            <w:vAlign w:val="center"/>
          </w:tcPr>
          <w:p w:rsidR="00462474" w:rsidRPr="00A42B3C" w:rsidRDefault="00462474" w:rsidP="00462474">
            <w:pPr>
              <w:jc w:val="both"/>
              <w:rPr>
                <w:rFonts w:asciiTheme="majorHAnsi" w:eastAsia="Times New Roman" w:hAnsiTheme="majorHAnsi" w:cstheme="majorHAnsi"/>
                <w:color w:val="000000"/>
                <w:sz w:val="14"/>
                <w:szCs w:val="20"/>
                <w:lang w:val="en-GB" w:eastAsia="en-GB"/>
              </w:rPr>
            </w:pPr>
            <w:r w:rsidRPr="00A42B3C">
              <w:rPr>
                <w:rFonts w:asciiTheme="majorHAnsi" w:eastAsia="Times New Roman" w:hAnsiTheme="majorHAnsi" w:cstheme="majorHAnsi"/>
                <w:color w:val="000000"/>
                <w:sz w:val="14"/>
                <w:szCs w:val="20"/>
                <w:lang w:val="en-GB" w:eastAsia="en-GB"/>
              </w:rPr>
              <w:t>EU</w:t>
            </w:r>
          </w:p>
        </w:tc>
      </w:tr>
      <w:tr w:rsidR="00462474" w:rsidRPr="00A42B3C" w:rsidTr="00462474">
        <w:trPr>
          <w:trHeight w:val="386"/>
        </w:trPr>
        <w:tc>
          <w:tcPr>
            <w:tcW w:w="234" w:type="pct"/>
            <w:shd w:val="clear" w:color="auto" w:fill="auto"/>
            <w:vAlign w:val="center"/>
            <w:hideMark/>
          </w:tcPr>
          <w:p w:rsidR="00462474" w:rsidRPr="00A42B3C" w:rsidRDefault="00462474" w:rsidP="00462474">
            <w:pPr>
              <w:jc w:val="center"/>
              <w:rPr>
                <w:rFonts w:asciiTheme="majorHAnsi" w:eastAsia="Times New Roman" w:hAnsiTheme="majorHAnsi" w:cstheme="majorHAnsi"/>
                <w:color w:val="000000"/>
                <w:sz w:val="14"/>
                <w:szCs w:val="20"/>
                <w:lang w:val="en-GB" w:eastAsia="en-GB"/>
              </w:rPr>
            </w:pPr>
            <w:r w:rsidRPr="00A42B3C">
              <w:rPr>
                <w:rFonts w:asciiTheme="majorHAnsi" w:eastAsia="Times New Roman" w:hAnsiTheme="majorHAnsi" w:cstheme="majorHAnsi"/>
                <w:color w:val="000000"/>
                <w:sz w:val="14"/>
                <w:szCs w:val="20"/>
                <w:lang w:val="en-GB" w:eastAsia="en-GB"/>
              </w:rPr>
              <w:t>4</w:t>
            </w:r>
          </w:p>
        </w:tc>
        <w:tc>
          <w:tcPr>
            <w:tcW w:w="541" w:type="pct"/>
            <w:shd w:val="clear" w:color="auto" w:fill="auto"/>
            <w:vAlign w:val="center"/>
            <w:hideMark/>
          </w:tcPr>
          <w:p w:rsidR="00462474" w:rsidRPr="00A42B3C" w:rsidRDefault="004C7DBE" w:rsidP="00462474">
            <w:pPr>
              <w:jc w:val="both"/>
              <w:rPr>
                <w:rFonts w:asciiTheme="majorHAnsi" w:eastAsia="Times New Roman" w:hAnsiTheme="majorHAnsi" w:cstheme="majorHAnsi"/>
                <w:color w:val="000000"/>
                <w:sz w:val="14"/>
                <w:szCs w:val="20"/>
                <w:lang w:val="en-GB" w:eastAsia="en-GB"/>
              </w:rPr>
            </w:pPr>
            <w:r w:rsidRPr="00A42B3C">
              <w:rPr>
                <w:rFonts w:asciiTheme="majorHAnsi" w:eastAsia="Times New Roman" w:hAnsiTheme="majorHAnsi" w:cstheme="majorHAnsi"/>
                <w:color w:val="000000"/>
                <w:sz w:val="14"/>
                <w:szCs w:val="20"/>
                <w:lang w:val="en-GB" w:eastAsia="en-GB"/>
              </w:rPr>
              <w:t>Regulation Article 1 paragraph 1d - Limits on assets contributing to OC</w:t>
            </w:r>
          </w:p>
        </w:tc>
        <w:tc>
          <w:tcPr>
            <w:tcW w:w="1133" w:type="pct"/>
            <w:shd w:val="clear" w:color="auto" w:fill="auto"/>
            <w:vAlign w:val="center"/>
            <w:hideMark/>
          </w:tcPr>
          <w:p w:rsidR="00462474" w:rsidRPr="00A42B3C" w:rsidRDefault="00462474" w:rsidP="00462474">
            <w:pPr>
              <w:jc w:val="both"/>
              <w:rPr>
                <w:rFonts w:asciiTheme="majorHAnsi" w:eastAsia="Times New Roman" w:hAnsiTheme="majorHAnsi" w:cstheme="majorHAnsi"/>
                <w:color w:val="000000"/>
                <w:sz w:val="14"/>
                <w:szCs w:val="20"/>
                <w:lang w:val="en-GB" w:eastAsia="en-GB"/>
              </w:rPr>
            </w:pPr>
            <w:r w:rsidRPr="00A42B3C">
              <w:rPr>
                <w:rFonts w:asciiTheme="majorHAnsi" w:eastAsia="Times New Roman" w:hAnsiTheme="majorHAnsi" w:cstheme="majorHAnsi"/>
                <w:color w:val="000000"/>
                <w:sz w:val="14"/>
                <w:szCs w:val="20"/>
                <w:lang w:val="en-GB" w:eastAsia="en-GB"/>
              </w:rPr>
              <w:t>Limits on assets contributing to OC</w:t>
            </w:r>
          </w:p>
        </w:tc>
        <w:tc>
          <w:tcPr>
            <w:tcW w:w="567" w:type="pct"/>
            <w:shd w:val="clear" w:color="auto" w:fill="auto"/>
            <w:vAlign w:val="center"/>
            <w:hideMark/>
          </w:tcPr>
          <w:p w:rsidR="00462474" w:rsidRPr="00A42B3C" w:rsidRDefault="00462474" w:rsidP="00462474">
            <w:pPr>
              <w:jc w:val="both"/>
              <w:rPr>
                <w:rFonts w:asciiTheme="majorHAnsi" w:eastAsia="Times New Roman" w:hAnsiTheme="majorHAnsi" w:cstheme="majorHAnsi"/>
                <w:color w:val="000000"/>
                <w:sz w:val="14"/>
                <w:szCs w:val="20"/>
                <w:lang w:val="en-GB" w:eastAsia="en-GB"/>
              </w:rPr>
            </w:pPr>
            <w:r w:rsidRPr="00A42B3C">
              <w:rPr>
                <w:rFonts w:asciiTheme="majorHAnsi" w:eastAsia="Times New Roman" w:hAnsiTheme="majorHAnsi" w:cstheme="majorHAnsi"/>
                <w:color w:val="000000"/>
                <w:sz w:val="14"/>
                <w:szCs w:val="20"/>
                <w:lang w:val="en-GB" w:eastAsia="en-GB"/>
              </w:rPr>
              <w:t>Amended to include assets in exposure limits</w:t>
            </w:r>
          </w:p>
        </w:tc>
        <w:tc>
          <w:tcPr>
            <w:tcW w:w="765" w:type="pct"/>
            <w:shd w:val="clear" w:color="auto" w:fill="auto"/>
            <w:vAlign w:val="center"/>
            <w:hideMark/>
          </w:tcPr>
          <w:p w:rsidR="00462474" w:rsidRPr="00A42B3C" w:rsidRDefault="004C7DBE" w:rsidP="00462474">
            <w:pPr>
              <w:jc w:val="both"/>
              <w:rPr>
                <w:rFonts w:asciiTheme="majorHAnsi" w:eastAsia="Times New Roman" w:hAnsiTheme="majorHAnsi" w:cstheme="majorHAnsi"/>
                <w:color w:val="000000"/>
                <w:sz w:val="14"/>
                <w:szCs w:val="20"/>
                <w:lang w:val="en-GB" w:eastAsia="en-GB"/>
              </w:rPr>
            </w:pPr>
            <w:r w:rsidRPr="00A42B3C">
              <w:rPr>
                <w:rFonts w:asciiTheme="majorHAnsi" w:eastAsia="Times New Roman" w:hAnsiTheme="majorHAnsi" w:cstheme="majorHAnsi"/>
                <w:color w:val="000000"/>
                <w:sz w:val="14"/>
                <w:szCs w:val="20"/>
                <w:lang w:val="en-GB" w:eastAsia="en-GB"/>
              </w:rPr>
              <w:t>If an asset is eligible for the pool it is essential that it is eligible to be counted towards OC from an implementation perspective. Do not believe that these assets should be subject to exposure limits.</w:t>
            </w:r>
          </w:p>
        </w:tc>
        <w:tc>
          <w:tcPr>
            <w:tcW w:w="306" w:type="pct"/>
            <w:shd w:val="clear" w:color="auto" w:fill="auto"/>
            <w:vAlign w:val="center"/>
            <w:hideMark/>
          </w:tcPr>
          <w:p w:rsidR="00450295" w:rsidRPr="00A42B3C" w:rsidRDefault="00450295" w:rsidP="00462474">
            <w:pPr>
              <w:jc w:val="both"/>
              <w:rPr>
                <w:rFonts w:asciiTheme="majorHAnsi" w:eastAsia="Times New Roman" w:hAnsiTheme="majorHAnsi" w:cstheme="majorHAnsi"/>
                <w:color w:val="000000"/>
                <w:sz w:val="14"/>
                <w:szCs w:val="20"/>
                <w:lang w:val="en-GB" w:eastAsia="en-GB"/>
              </w:rPr>
            </w:pPr>
            <w:r>
              <w:rPr>
                <w:rFonts w:asciiTheme="majorHAnsi" w:eastAsia="Times New Roman" w:hAnsiTheme="majorHAnsi" w:cstheme="majorHAnsi"/>
                <w:color w:val="000000"/>
                <w:sz w:val="14"/>
                <w:szCs w:val="20"/>
                <w:lang w:val="en-GB" w:eastAsia="en-GB"/>
              </w:rPr>
              <w:t>Moderate</w:t>
            </w:r>
          </w:p>
        </w:tc>
        <w:tc>
          <w:tcPr>
            <w:tcW w:w="1260" w:type="pct"/>
            <w:shd w:val="clear" w:color="auto" w:fill="auto"/>
            <w:vAlign w:val="center"/>
            <w:hideMark/>
          </w:tcPr>
          <w:p w:rsidR="00462474" w:rsidRPr="00A42B3C" w:rsidRDefault="00462474" w:rsidP="00462474">
            <w:pPr>
              <w:jc w:val="both"/>
              <w:rPr>
                <w:rFonts w:asciiTheme="majorHAnsi" w:eastAsia="Times New Roman" w:hAnsiTheme="majorHAnsi" w:cstheme="majorHAnsi"/>
                <w:color w:val="000000"/>
                <w:sz w:val="14"/>
                <w:szCs w:val="20"/>
                <w:lang w:val="en-GB" w:eastAsia="en-GB"/>
              </w:rPr>
            </w:pPr>
            <w:r w:rsidRPr="00A42B3C">
              <w:rPr>
                <w:rFonts w:asciiTheme="majorHAnsi" w:eastAsia="Times New Roman" w:hAnsiTheme="majorHAnsi" w:cstheme="majorHAnsi"/>
                <w:color w:val="000000"/>
                <w:sz w:val="14"/>
                <w:szCs w:val="20"/>
                <w:lang w:val="en-GB" w:eastAsia="en-GB"/>
              </w:rPr>
              <w:t>Revert to original text</w:t>
            </w:r>
          </w:p>
        </w:tc>
        <w:tc>
          <w:tcPr>
            <w:tcW w:w="194" w:type="pct"/>
            <w:vAlign w:val="center"/>
          </w:tcPr>
          <w:p w:rsidR="00462474" w:rsidRPr="00A42B3C" w:rsidRDefault="00462474" w:rsidP="00462474">
            <w:pPr>
              <w:jc w:val="both"/>
              <w:rPr>
                <w:rFonts w:asciiTheme="majorHAnsi" w:eastAsia="Times New Roman" w:hAnsiTheme="majorHAnsi" w:cstheme="majorHAnsi"/>
                <w:color w:val="000000"/>
                <w:sz w:val="14"/>
                <w:szCs w:val="20"/>
                <w:lang w:val="en-GB" w:eastAsia="en-GB"/>
              </w:rPr>
            </w:pPr>
            <w:r w:rsidRPr="00A42B3C">
              <w:rPr>
                <w:rFonts w:asciiTheme="majorHAnsi" w:eastAsia="Times New Roman" w:hAnsiTheme="majorHAnsi" w:cstheme="majorHAnsi"/>
                <w:color w:val="000000"/>
                <w:sz w:val="14"/>
                <w:szCs w:val="20"/>
                <w:lang w:val="en-GB" w:eastAsia="en-GB"/>
              </w:rPr>
              <w:t>EU</w:t>
            </w:r>
          </w:p>
        </w:tc>
      </w:tr>
    </w:tbl>
    <w:p w:rsidR="00583F2B" w:rsidRPr="00A42B3C" w:rsidRDefault="00583F2B" w:rsidP="00583F2B">
      <w:pPr>
        <w:rPr>
          <w:rFonts w:asciiTheme="majorHAnsi" w:hAnsiTheme="majorHAnsi" w:cstheme="majorHAnsi"/>
          <w:i/>
          <w:color w:val="DE8400"/>
          <w:sz w:val="18"/>
          <w:szCs w:val="18"/>
          <w:lang w:val="en-GB"/>
        </w:rPr>
      </w:pPr>
    </w:p>
    <w:p w:rsidR="00583F2B" w:rsidRPr="00A42B3C" w:rsidRDefault="00583F2B" w:rsidP="00583F2B">
      <w:pPr>
        <w:rPr>
          <w:rFonts w:asciiTheme="majorHAnsi" w:hAnsiTheme="majorHAnsi" w:cstheme="majorHAnsi"/>
          <w:i/>
          <w:sz w:val="20"/>
          <w:szCs w:val="18"/>
          <w:lang w:val="en-GB"/>
        </w:rPr>
      </w:pPr>
      <w:r w:rsidRPr="00A42B3C">
        <w:rPr>
          <w:rFonts w:asciiTheme="majorHAnsi" w:hAnsiTheme="majorHAnsi" w:cstheme="majorHAnsi"/>
          <w:i/>
          <w:sz w:val="20"/>
          <w:szCs w:val="18"/>
          <w:lang w:val="en-GB"/>
        </w:rPr>
        <w:t>Source: bpfi</w:t>
      </w:r>
    </w:p>
    <w:p w:rsidR="00583F2B" w:rsidRPr="00A42B3C" w:rsidRDefault="00583F2B">
      <w:pPr>
        <w:rPr>
          <w:rFonts w:asciiTheme="majorHAnsi" w:hAnsiTheme="majorHAnsi" w:cstheme="majorHAnsi"/>
          <w:i/>
          <w:sz w:val="20"/>
          <w:szCs w:val="18"/>
          <w:lang w:val="en-GB"/>
        </w:rPr>
      </w:pPr>
      <w:r w:rsidRPr="00A42B3C">
        <w:rPr>
          <w:rFonts w:asciiTheme="majorHAnsi" w:hAnsiTheme="majorHAnsi" w:cstheme="majorHAnsi"/>
          <w:i/>
          <w:sz w:val="20"/>
          <w:szCs w:val="18"/>
          <w:lang w:val="en-GB"/>
        </w:rPr>
        <w:br w:type="page"/>
      </w:r>
    </w:p>
    <w:p w:rsidR="004A1B31" w:rsidRPr="00A42B3C" w:rsidRDefault="004A1B31" w:rsidP="00BD0D33">
      <w:pPr>
        <w:pStyle w:val="Heading1"/>
      </w:pPr>
      <w:r w:rsidRPr="00A42B3C">
        <w:lastRenderedPageBreak/>
        <w:t>Italy</w:t>
      </w:r>
    </w:p>
    <w:tbl>
      <w:tblPr>
        <w:tblpPr w:leftFromText="180" w:rightFromText="180" w:vertAnchor="text" w:horzAnchor="margin" w:tblpY="80"/>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943"/>
        <w:gridCol w:w="2766"/>
        <w:gridCol w:w="2410"/>
        <w:gridCol w:w="3544"/>
        <w:gridCol w:w="992"/>
        <w:gridCol w:w="1843"/>
        <w:gridCol w:w="708"/>
      </w:tblGrid>
      <w:tr w:rsidR="009F5A9A" w:rsidRPr="00A42B3C" w:rsidTr="009F5A9A">
        <w:trPr>
          <w:trHeight w:val="475"/>
        </w:trPr>
        <w:tc>
          <w:tcPr>
            <w:tcW w:w="964" w:type="dxa"/>
            <w:shd w:val="clear" w:color="auto" w:fill="DE821B"/>
          </w:tcPr>
          <w:p w:rsidR="009F5A9A" w:rsidRPr="00A42B3C" w:rsidRDefault="009F5A9A" w:rsidP="009F5A9A">
            <w:pPr>
              <w:jc w:val="center"/>
              <w:rPr>
                <w:rFonts w:asciiTheme="majorHAnsi" w:eastAsia="Times New Roman" w:hAnsiTheme="majorHAnsi" w:cstheme="majorHAnsi"/>
                <w:b/>
                <w:color w:val="FFFFFF" w:themeColor="background1"/>
                <w:sz w:val="14"/>
                <w:szCs w:val="16"/>
                <w:lang w:val="en-GB" w:eastAsia="en-GB"/>
              </w:rPr>
            </w:pPr>
            <w:r w:rsidRPr="00A42B3C">
              <w:rPr>
                <w:rFonts w:asciiTheme="majorHAnsi" w:eastAsia="Times New Roman" w:hAnsiTheme="majorHAnsi" w:cstheme="majorHAnsi"/>
                <w:b/>
                <w:color w:val="FFFFFF" w:themeColor="background1"/>
                <w:sz w:val="14"/>
                <w:szCs w:val="16"/>
                <w:lang w:val="en-GB" w:eastAsia="en-GB"/>
              </w:rPr>
              <w:t>Ranking of priority</w:t>
            </w:r>
          </w:p>
        </w:tc>
        <w:tc>
          <w:tcPr>
            <w:tcW w:w="943" w:type="dxa"/>
            <w:shd w:val="clear" w:color="auto" w:fill="DE821B"/>
            <w:vAlign w:val="center"/>
            <w:hideMark/>
          </w:tcPr>
          <w:p w:rsidR="009F5A9A" w:rsidRPr="00A42B3C" w:rsidRDefault="009F5A9A" w:rsidP="009F5A9A">
            <w:pPr>
              <w:jc w:val="center"/>
              <w:rPr>
                <w:rFonts w:asciiTheme="majorHAnsi" w:eastAsia="Times New Roman" w:hAnsiTheme="majorHAnsi" w:cstheme="majorHAnsi"/>
                <w:b/>
                <w:color w:val="FFFFFF" w:themeColor="background1"/>
                <w:sz w:val="14"/>
                <w:szCs w:val="16"/>
                <w:lang w:val="en-GB" w:eastAsia="en-GB"/>
              </w:rPr>
            </w:pPr>
            <w:r w:rsidRPr="00A42B3C">
              <w:rPr>
                <w:rFonts w:asciiTheme="majorHAnsi" w:eastAsia="Times New Roman" w:hAnsiTheme="majorHAnsi" w:cstheme="majorHAnsi"/>
                <w:b/>
                <w:color w:val="FFFFFF" w:themeColor="background1"/>
                <w:sz w:val="14"/>
                <w:szCs w:val="16"/>
                <w:lang w:val="en-GB" w:eastAsia="en-GB"/>
              </w:rPr>
              <w:t>Location</w:t>
            </w:r>
          </w:p>
        </w:tc>
        <w:tc>
          <w:tcPr>
            <w:tcW w:w="2766" w:type="dxa"/>
            <w:shd w:val="clear" w:color="auto" w:fill="DE821B"/>
            <w:vAlign w:val="center"/>
            <w:hideMark/>
          </w:tcPr>
          <w:p w:rsidR="009F5A9A" w:rsidRPr="00A42B3C" w:rsidRDefault="009F5A9A" w:rsidP="009F5A9A">
            <w:pPr>
              <w:jc w:val="center"/>
              <w:rPr>
                <w:rFonts w:asciiTheme="majorHAnsi" w:eastAsia="Times New Roman" w:hAnsiTheme="majorHAnsi" w:cstheme="majorHAnsi"/>
                <w:b/>
                <w:color w:val="FFFFFF" w:themeColor="background1"/>
                <w:sz w:val="14"/>
                <w:szCs w:val="16"/>
                <w:lang w:val="en-GB" w:eastAsia="en-GB"/>
              </w:rPr>
            </w:pPr>
            <w:r w:rsidRPr="00A42B3C">
              <w:rPr>
                <w:rFonts w:asciiTheme="majorHAnsi" w:eastAsia="Times New Roman" w:hAnsiTheme="majorHAnsi" w:cstheme="majorHAnsi"/>
                <w:b/>
                <w:color w:val="FFFFFF" w:themeColor="background1"/>
                <w:sz w:val="14"/>
                <w:szCs w:val="16"/>
                <w:lang w:val="en-GB" w:eastAsia="en-GB"/>
              </w:rPr>
              <w:t>Precise passage concerned</w:t>
            </w:r>
          </w:p>
        </w:tc>
        <w:tc>
          <w:tcPr>
            <w:tcW w:w="2410" w:type="dxa"/>
            <w:shd w:val="clear" w:color="auto" w:fill="DE821B"/>
            <w:vAlign w:val="center"/>
            <w:hideMark/>
          </w:tcPr>
          <w:p w:rsidR="009F5A9A" w:rsidRPr="00A42B3C" w:rsidRDefault="009F5A9A" w:rsidP="009F5A9A">
            <w:pPr>
              <w:jc w:val="center"/>
              <w:rPr>
                <w:rFonts w:asciiTheme="majorHAnsi" w:eastAsia="Times New Roman" w:hAnsiTheme="majorHAnsi" w:cstheme="majorHAnsi"/>
                <w:b/>
                <w:color w:val="FFFFFF" w:themeColor="background1"/>
                <w:sz w:val="14"/>
                <w:szCs w:val="16"/>
                <w:lang w:val="en-GB" w:eastAsia="en-GB"/>
              </w:rPr>
            </w:pPr>
            <w:r w:rsidRPr="00A42B3C">
              <w:rPr>
                <w:rFonts w:asciiTheme="majorHAnsi" w:eastAsia="Times New Roman" w:hAnsiTheme="majorHAnsi" w:cstheme="majorHAnsi"/>
                <w:b/>
                <w:color w:val="FFFFFF" w:themeColor="background1"/>
                <w:sz w:val="14"/>
                <w:szCs w:val="16"/>
                <w:lang w:val="en-GB" w:eastAsia="en-GB"/>
              </w:rPr>
              <w:t>Description of the Issue</w:t>
            </w:r>
          </w:p>
        </w:tc>
        <w:tc>
          <w:tcPr>
            <w:tcW w:w="3544" w:type="dxa"/>
            <w:shd w:val="clear" w:color="auto" w:fill="DE821B"/>
            <w:vAlign w:val="center"/>
            <w:hideMark/>
          </w:tcPr>
          <w:p w:rsidR="009F5A9A" w:rsidRPr="00A42B3C" w:rsidRDefault="009F5A9A" w:rsidP="009F5A9A">
            <w:pPr>
              <w:jc w:val="center"/>
              <w:rPr>
                <w:rFonts w:asciiTheme="majorHAnsi" w:eastAsia="Times New Roman" w:hAnsiTheme="majorHAnsi" w:cstheme="majorHAnsi"/>
                <w:b/>
                <w:color w:val="FFFFFF" w:themeColor="background1"/>
                <w:sz w:val="14"/>
                <w:szCs w:val="16"/>
                <w:lang w:val="en-GB" w:eastAsia="en-GB"/>
              </w:rPr>
            </w:pPr>
            <w:r w:rsidRPr="00A42B3C">
              <w:rPr>
                <w:rFonts w:asciiTheme="majorHAnsi" w:eastAsia="Times New Roman" w:hAnsiTheme="majorHAnsi" w:cstheme="majorHAnsi"/>
                <w:b/>
                <w:color w:val="FFFFFF" w:themeColor="background1"/>
                <w:sz w:val="14"/>
                <w:szCs w:val="16"/>
                <w:lang w:val="en-GB" w:eastAsia="en-GB"/>
              </w:rPr>
              <w:t>Justification for potential amendment</w:t>
            </w:r>
          </w:p>
        </w:tc>
        <w:tc>
          <w:tcPr>
            <w:tcW w:w="992" w:type="dxa"/>
            <w:shd w:val="clear" w:color="auto" w:fill="DE821B"/>
            <w:vAlign w:val="center"/>
            <w:hideMark/>
          </w:tcPr>
          <w:p w:rsidR="009F5A9A" w:rsidRPr="00A42B3C" w:rsidRDefault="009F5A9A" w:rsidP="009F5A9A">
            <w:pPr>
              <w:jc w:val="center"/>
              <w:rPr>
                <w:rFonts w:asciiTheme="majorHAnsi" w:eastAsia="Times New Roman" w:hAnsiTheme="majorHAnsi" w:cstheme="majorHAnsi"/>
                <w:b/>
                <w:color w:val="FFFFFF" w:themeColor="background1"/>
                <w:sz w:val="14"/>
                <w:szCs w:val="16"/>
                <w:lang w:val="en-GB" w:eastAsia="en-GB"/>
              </w:rPr>
            </w:pPr>
            <w:r w:rsidRPr="00A42B3C">
              <w:rPr>
                <w:rFonts w:asciiTheme="majorHAnsi" w:eastAsia="Times New Roman" w:hAnsiTheme="majorHAnsi" w:cstheme="majorHAnsi"/>
                <w:b/>
                <w:color w:val="FFFFFF" w:themeColor="background1"/>
                <w:sz w:val="14"/>
                <w:szCs w:val="16"/>
                <w:lang w:val="en-GB" w:eastAsia="en-GB"/>
              </w:rPr>
              <w:t>Level of seriousness</w:t>
            </w:r>
          </w:p>
        </w:tc>
        <w:tc>
          <w:tcPr>
            <w:tcW w:w="1843" w:type="dxa"/>
            <w:shd w:val="clear" w:color="auto" w:fill="DE821B"/>
            <w:vAlign w:val="center"/>
          </w:tcPr>
          <w:p w:rsidR="009F5A9A" w:rsidRPr="00A42B3C" w:rsidRDefault="009F5A9A" w:rsidP="009F5A9A">
            <w:pPr>
              <w:jc w:val="center"/>
              <w:rPr>
                <w:rFonts w:asciiTheme="majorHAnsi" w:eastAsia="Times New Roman" w:hAnsiTheme="majorHAnsi" w:cstheme="majorHAnsi"/>
                <w:b/>
                <w:color w:val="FFFFFF" w:themeColor="background1"/>
                <w:sz w:val="14"/>
                <w:szCs w:val="16"/>
                <w:lang w:val="en-GB" w:eastAsia="en-GB"/>
              </w:rPr>
            </w:pPr>
            <w:r w:rsidRPr="00A42B3C">
              <w:rPr>
                <w:rFonts w:asciiTheme="majorHAnsi" w:eastAsia="Times New Roman" w:hAnsiTheme="majorHAnsi" w:cstheme="majorHAnsi"/>
                <w:b/>
                <w:color w:val="FFFFFF" w:themeColor="background1"/>
                <w:sz w:val="14"/>
                <w:szCs w:val="16"/>
                <w:lang w:val="en-GB" w:eastAsia="en-GB"/>
              </w:rPr>
              <w:t>Proposal for a wording update</w:t>
            </w:r>
          </w:p>
        </w:tc>
        <w:tc>
          <w:tcPr>
            <w:tcW w:w="708" w:type="dxa"/>
            <w:shd w:val="clear" w:color="auto" w:fill="DE821B"/>
            <w:vAlign w:val="center"/>
          </w:tcPr>
          <w:p w:rsidR="009F5A9A" w:rsidRPr="00A42B3C" w:rsidRDefault="009F5A9A" w:rsidP="009F5A9A">
            <w:pPr>
              <w:jc w:val="center"/>
              <w:rPr>
                <w:rFonts w:asciiTheme="majorHAnsi" w:eastAsia="Times New Roman" w:hAnsiTheme="majorHAnsi" w:cstheme="majorHAnsi"/>
                <w:b/>
                <w:color w:val="FFFFFF" w:themeColor="background1"/>
                <w:sz w:val="14"/>
                <w:szCs w:val="16"/>
                <w:lang w:val="en-GB" w:eastAsia="en-GB"/>
              </w:rPr>
            </w:pPr>
            <w:r w:rsidRPr="00A42B3C">
              <w:rPr>
                <w:rFonts w:asciiTheme="majorHAnsi" w:eastAsia="Times New Roman" w:hAnsiTheme="majorHAnsi" w:cstheme="majorHAnsi"/>
                <w:b/>
                <w:color w:val="FFFFFF" w:themeColor="background1"/>
                <w:sz w:val="14"/>
                <w:szCs w:val="16"/>
                <w:lang w:val="en-GB" w:eastAsia="en-GB"/>
              </w:rPr>
              <w:t>Scope</w:t>
            </w:r>
          </w:p>
        </w:tc>
      </w:tr>
      <w:tr w:rsidR="00EA7097" w:rsidRPr="00A42B3C" w:rsidTr="009F5A9A">
        <w:trPr>
          <w:trHeight w:val="475"/>
        </w:trPr>
        <w:tc>
          <w:tcPr>
            <w:tcW w:w="964" w:type="dxa"/>
            <w:vAlign w:val="center"/>
          </w:tcPr>
          <w:p w:rsidR="00EA7097" w:rsidRPr="00A42B3C" w:rsidRDefault="00EA7097" w:rsidP="00EA7097">
            <w:pPr>
              <w:rPr>
                <w:rFonts w:asciiTheme="majorHAnsi" w:hAnsiTheme="majorHAnsi" w:cstheme="majorHAnsi"/>
                <w:color w:val="000000"/>
                <w:sz w:val="14"/>
                <w:szCs w:val="16"/>
                <w:lang w:val="en-GB" w:eastAsia="en-GB"/>
              </w:rPr>
            </w:pPr>
            <w:r w:rsidRPr="00A42B3C">
              <w:rPr>
                <w:rFonts w:asciiTheme="majorHAnsi" w:hAnsiTheme="majorHAnsi" w:cstheme="majorHAnsi"/>
                <w:color w:val="000000"/>
                <w:sz w:val="14"/>
                <w:szCs w:val="16"/>
                <w:lang w:val="en-GB" w:eastAsia="en-GB"/>
              </w:rPr>
              <w:t>1</w:t>
            </w:r>
          </w:p>
        </w:tc>
        <w:tc>
          <w:tcPr>
            <w:tcW w:w="943" w:type="dxa"/>
            <w:shd w:val="clear" w:color="auto" w:fill="auto"/>
            <w:vAlign w:val="center"/>
          </w:tcPr>
          <w:p w:rsidR="00EA7097" w:rsidRPr="00A42B3C" w:rsidRDefault="00EA7097" w:rsidP="00EA7097">
            <w:pPr>
              <w:jc w:val="both"/>
              <w:rPr>
                <w:rFonts w:asciiTheme="majorHAnsi" w:hAnsiTheme="majorHAnsi" w:cstheme="majorHAnsi"/>
                <w:sz w:val="14"/>
                <w:szCs w:val="16"/>
                <w:lang w:val="en-GB"/>
              </w:rPr>
            </w:pPr>
            <w:r w:rsidRPr="00A42B3C">
              <w:rPr>
                <w:rFonts w:asciiTheme="majorHAnsi" w:hAnsiTheme="majorHAnsi" w:cstheme="majorHAnsi"/>
                <w:sz w:val="14"/>
                <w:szCs w:val="16"/>
                <w:lang w:val="en-GB"/>
              </w:rPr>
              <w:t>Derivative contracts                                  Directive: Art. 11             Regulation: Art. 129, 1 c</w:t>
            </w:r>
          </w:p>
        </w:tc>
        <w:tc>
          <w:tcPr>
            <w:tcW w:w="2766" w:type="dxa"/>
            <w:shd w:val="clear" w:color="auto" w:fill="auto"/>
            <w:vAlign w:val="center"/>
          </w:tcPr>
          <w:p w:rsidR="00EA7097" w:rsidRPr="00A42B3C" w:rsidRDefault="00EA7097" w:rsidP="00EA7097">
            <w:pPr>
              <w:jc w:val="both"/>
              <w:rPr>
                <w:rFonts w:ascii="Calibri" w:hAnsi="Calibri" w:cs="Calibri"/>
                <w:sz w:val="14"/>
                <w:szCs w:val="20"/>
                <w:lang w:val="en-GB"/>
              </w:rPr>
            </w:pPr>
            <w:r w:rsidRPr="00A42B3C">
              <w:rPr>
                <w:rFonts w:ascii="Calibri" w:hAnsi="Calibri" w:cs="Calibri"/>
                <w:b/>
                <w:bCs/>
                <w:sz w:val="14"/>
                <w:szCs w:val="20"/>
                <w:lang w:val="en-GB"/>
              </w:rPr>
              <w:t xml:space="preserve">Directive, Art. 11: </w:t>
            </w:r>
            <w:r w:rsidRPr="00A42B3C">
              <w:rPr>
                <w:rFonts w:ascii="Calibri" w:hAnsi="Calibri" w:cs="Calibri"/>
                <w:sz w:val="14"/>
                <w:szCs w:val="20"/>
                <w:lang w:val="en-GB"/>
              </w:rPr>
              <w:t>"1. Member States shall ensure investor protection by allowing derivative contracts to be included in the cover pool only where at least the following requirements are met:</w:t>
            </w:r>
            <w:r w:rsidRPr="00A42B3C">
              <w:rPr>
                <w:rFonts w:ascii="Calibri" w:hAnsi="Calibri" w:cs="Calibri"/>
                <w:sz w:val="14"/>
                <w:szCs w:val="20"/>
                <w:lang w:val="en-GB"/>
              </w:rPr>
              <w:br/>
              <w:t xml:space="preserve">[.....]"                                                                                                                                                                    </w:t>
            </w:r>
            <w:r w:rsidRPr="00A42B3C">
              <w:rPr>
                <w:rFonts w:ascii="Calibri" w:hAnsi="Calibri" w:cs="Calibri"/>
                <w:b/>
                <w:bCs/>
                <w:sz w:val="14"/>
                <w:szCs w:val="20"/>
                <w:lang w:val="en-GB"/>
              </w:rPr>
              <w:t xml:space="preserve">  </w:t>
            </w:r>
            <w:r w:rsidR="00716156" w:rsidRPr="00A42B3C">
              <w:rPr>
                <w:rFonts w:ascii="Calibri" w:hAnsi="Calibri" w:cs="Calibri"/>
                <w:b/>
                <w:bCs/>
                <w:sz w:val="14"/>
                <w:szCs w:val="20"/>
                <w:lang w:val="en-GB"/>
              </w:rPr>
              <w:t>Directive,</w:t>
            </w:r>
            <w:r w:rsidRPr="00A42B3C">
              <w:rPr>
                <w:rFonts w:ascii="Calibri" w:hAnsi="Calibri" w:cs="Calibri"/>
                <w:b/>
                <w:bCs/>
                <w:sz w:val="14"/>
                <w:szCs w:val="20"/>
                <w:lang w:val="en-GB"/>
              </w:rPr>
              <w:t xml:space="preserve"> Art. 15 1(c) </w:t>
            </w:r>
            <w:r w:rsidRPr="00A42B3C">
              <w:rPr>
                <w:rFonts w:ascii="Calibri" w:hAnsi="Calibri" w:cs="Calibri"/>
                <w:sz w:val="14"/>
                <w:szCs w:val="20"/>
                <w:lang w:val="en-GB"/>
              </w:rPr>
              <w:t xml:space="preserve">"(...) the following assets in the cover pool contribute to the coverage requirement: (....)"                                                                                                                                                                              </w:t>
            </w:r>
            <w:r w:rsidRPr="00A42B3C">
              <w:rPr>
                <w:rFonts w:ascii="Calibri" w:hAnsi="Calibri" w:cs="Calibri"/>
                <w:b/>
                <w:bCs/>
                <w:sz w:val="14"/>
                <w:szCs w:val="20"/>
                <w:lang w:val="en-GB"/>
              </w:rPr>
              <w:t>Regulation, Art. 129, 1 c:</w:t>
            </w:r>
            <w:r w:rsidRPr="00A42B3C">
              <w:rPr>
                <w:rFonts w:ascii="Calibri" w:hAnsi="Calibri" w:cs="Calibri"/>
                <w:sz w:val="14"/>
                <w:szCs w:val="20"/>
                <w:lang w:val="en-GB"/>
              </w:rPr>
              <w:t xml:space="preserve">  " exposures to credit institutions that qualify for the credit quality step 1 or credit quality step 2 as set out in this Chapter”.</w:t>
            </w:r>
          </w:p>
          <w:p w:rsidR="00EA7097" w:rsidRPr="00A42B3C" w:rsidRDefault="00EA7097" w:rsidP="00EA7097">
            <w:pPr>
              <w:jc w:val="both"/>
              <w:rPr>
                <w:rFonts w:asciiTheme="majorHAnsi" w:hAnsiTheme="majorHAnsi" w:cstheme="majorHAnsi"/>
                <w:sz w:val="14"/>
                <w:szCs w:val="16"/>
                <w:lang w:val="en-GB"/>
              </w:rPr>
            </w:pPr>
          </w:p>
        </w:tc>
        <w:tc>
          <w:tcPr>
            <w:tcW w:w="2410" w:type="dxa"/>
            <w:shd w:val="clear" w:color="auto" w:fill="auto"/>
            <w:vAlign w:val="center"/>
          </w:tcPr>
          <w:p w:rsidR="00EA7097" w:rsidRPr="00A42B3C" w:rsidRDefault="00EA7097" w:rsidP="00EA7097">
            <w:pPr>
              <w:jc w:val="both"/>
              <w:rPr>
                <w:rFonts w:asciiTheme="majorHAnsi" w:hAnsiTheme="majorHAnsi" w:cstheme="majorHAnsi"/>
                <w:sz w:val="14"/>
                <w:szCs w:val="16"/>
                <w:lang w:val="en-GB"/>
              </w:rPr>
            </w:pPr>
            <w:r w:rsidRPr="00A42B3C">
              <w:rPr>
                <w:rFonts w:asciiTheme="majorHAnsi" w:hAnsiTheme="majorHAnsi" w:cstheme="majorHAnsi"/>
                <w:sz w:val="14"/>
                <w:szCs w:val="16"/>
                <w:lang w:val="en-GB"/>
              </w:rPr>
              <w:t xml:space="preserve">The Directive provides specific requirements for derivative contracts. Among such requirements there is their inclusion in the cover pool. This is a not-applicable concept in many EU jurisdictions, including the Italian one. In fact, derivatives are tools used to address interest rates mismatch. The Rapporteur of the European Parliament has clarified that derivative contracts cannot contribute to the coverage requirement (amendment n. 45, art. 15). It should therefore be clarified if the proposal of the Rapporteur only concerns the nominal coverage (where only assets should be considered) or if it also refers to the interest coverage (in which case derivatives should be considered). </w:t>
            </w:r>
          </w:p>
          <w:p w:rsidR="00EA7097" w:rsidRPr="00A42B3C" w:rsidRDefault="00EA7097" w:rsidP="00EA7097">
            <w:pPr>
              <w:jc w:val="both"/>
              <w:rPr>
                <w:rFonts w:asciiTheme="majorHAnsi" w:hAnsiTheme="majorHAnsi" w:cstheme="majorHAnsi"/>
                <w:sz w:val="14"/>
                <w:szCs w:val="16"/>
                <w:lang w:val="en-GB"/>
              </w:rPr>
            </w:pPr>
            <w:r w:rsidRPr="00A42B3C">
              <w:rPr>
                <w:rFonts w:asciiTheme="majorHAnsi" w:hAnsiTheme="majorHAnsi" w:cstheme="majorHAnsi"/>
                <w:sz w:val="14"/>
                <w:szCs w:val="16"/>
                <w:lang w:val="en-GB"/>
              </w:rPr>
              <w:t xml:space="preserve">In addition, in case derivatives are included in the cover pool, the Regulation provides, according to the Commission's proposal, that their counterparty be credit quality "Step 1" or credit quality "Step 2". </w:t>
            </w:r>
          </w:p>
        </w:tc>
        <w:tc>
          <w:tcPr>
            <w:tcW w:w="3544" w:type="dxa"/>
            <w:shd w:val="clear" w:color="auto" w:fill="auto"/>
            <w:vAlign w:val="center"/>
          </w:tcPr>
          <w:p w:rsidR="00EA7097" w:rsidRPr="00A42B3C" w:rsidRDefault="00EA7097" w:rsidP="00EA7097">
            <w:pPr>
              <w:jc w:val="both"/>
              <w:rPr>
                <w:rFonts w:asciiTheme="majorHAnsi" w:hAnsiTheme="majorHAnsi" w:cstheme="majorHAnsi"/>
                <w:sz w:val="14"/>
                <w:szCs w:val="16"/>
                <w:lang w:val="en-GB"/>
              </w:rPr>
            </w:pPr>
            <w:r w:rsidRPr="00A42B3C">
              <w:rPr>
                <w:rFonts w:asciiTheme="majorHAnsi" w:hAnsiTheme="majorHAnsi" w:cstheme="majorHAnsi"/>
                <w:sz w:val="14"/>
                <w:szCs w:val="16"/>
                <w:lang w:val="en-GB"/>
              </w:rPr>
              <w:t>It is necessary to clarify that derivatives can or cannot be included in the cover pool. If they are included, derivatives have to meet Directive requirements. Otherwise - if they are not included in the cover pool -  this is not necessary.                                                                                                                                                     We welcome Rapporteur amendment to the art. 15 that provides that derivative contracts are allowed for risk hedging purposes only and they do not contribute in any way to the calculation of the coverage requirement (if such coverage relates to the nominal principle only.  In case the coverage relates also the interest component, derivatives should be considered even if they do not belong to the cover pool - as it is the case in many EU jurisdictions).</w:t>
            </w:r>
          </w:p>
          <w:p w:rsidR="00EA7097" w:rsidRPr="00A42B3C" w:rsidRDefault="00EA7097" w:rsidP="00EA7097">
            <w:pPr>
              <w:jc w:val="both"/>
              <w:rPr>
                <w:rFonts w:asciiTheme="majorHAnsi" w:hAnsiTheme="majorHAnsi" w:cstheme="majorHAnsi"/>
                <w:sz w:val="14"/>
                <w:szCs w:val="16"/>
                <w:lang w:val="en-GB"/>
              </w:rPr>
            </w:pPr>
            <w:r w:rsidRPr="00A42B3C">
              <w:rPr>
                <w:rFonts w:asciiTheme="majorHAnsi" w:hAnsiTheme="majorHAnsi" w:cstheme="majorHAnsi"/>
                <w:sz w:val="14"/>
                <w:szCs w:val="16"/>
                <w:lang w:val="en-GB"/>
              </w:rPr>
              <w:t>We propose two amendments: (i) an amendment to the Directive in order to make sure that practises in jurisdictions where derivatives are not part of the cover pool are not disrupted (so a modification of Art 11 or 15); (ii)  if derivatives are relevant for the coverage requirement calculation, the Regulation should provide that derivative counterparties can qualify also for the credit quality "step 3".  Otherwise the new legal framework would limit the covered bond issuing in many European jurisdictions - where there are not step 1 or step 2 derivatives counterparties - paving the way for an unwanted disruption and fragmentation of the current market conditions.</w:t>
            </w:r>
          </w:p>
        </w:tc>
        <w:tc>
          <w:tcPr>
            <w:tcW w:w="992" w:type="dxa"/>
            <w:shd w:val="clear" w:color="auto" w:fill="auto"/>
            <w:vAlign w:val="center"/>
          </w:tcPr>
          <w:p w:rsidR="00EA7097" w:rsidRPr="00A42B3C" w:rsidRDefault="00EA7097" w:rsidP="00EA7097">
            <w:pPr>
              <w:jc w:val="both"/>
              <w:rPr>
                <w:rFonts w:asciiTheme="majorHAnsi" w:hAnsiTheme="majorHAnsi" w:cstheme="majorHAnsi"/>
                <w:sz w:val="14"/>
                <w:szCs w:val="16"/>
                <w:lang w:val="en-GB"/>
              </w:rPr>
            </w:pPr>
            <w:r w:rsidRPr="00A42B3C">
              <w:rPr>
                <w:rFonts w:asciiTheme="majorHAnsi" w:hAnsiTheme="majorHAnsi" w:cstheme="majorHAnsi"/>
                <w:sz w:val="14"/>
                <w:szCs w:val="16"/>
                <w:lang w:val="en-GB"/>
              </w:rPr>
              <w:t>high</w:t>
            </w:r>
          </w:p>
        </w:tc>
        <w:tc>
          <w:tcPr>
            <w:tcW w:w="1843" w:type="dxa"/>
            <w:shd w:val="clear" w:color="auto" w:fill="auto"/>
            <w:vAlign w:val="center"/>
          </w:tcPr>
          <w:p w:rsidR="00EA7097" w:rsidRPr="00A42B3C" w:rsidRDefault="00EA7097" w:rsidP="00EA7097">
            <w:pPr>
              <w:jc w:val="both"/>
              <w:rPr>
                <w:rFonts w:ascii="Calibri" w:hAnsi="Calibri" w:cs="Calibri"/>
                <w:sz w:val="14"/>
                <w:szCs w:val="20"/>
                <w:lang w:val="en-GB"/>
              </w:rPr>
            </w:pPr>
            <w:r w:rsidRPr="00A42B3C">
              <w:rPr>
                <w:rFonts w:ascii="Calibri" w:hAnsi="Calibri" w:cs="Calibri"/>
                <w:b/>
                <w:bCs/>
                <w:sz w:val="14"/>
                <w:szCs w:val="20"/>
                <w:lang w:val="en-GB"/>
              </w:rPr>
              <w:t>Directive, Art. 11</w:t>
            </w:r>
            <w:r w:rsidRPr="00A42B3C">
              <w:rPr>
                <w:rFonts w:ascii="Calibri" w:hAnsi="Calibri" w:cs="Calibri"/>
                <w:sz w:val="14"/>
                <w:szCs w:val="20"/>
                <w:lang w:val="en-GB"/>
              </w:rPr>
              <w:t xml:space="preserve">: "1. </w:t>
            </w:r>
            <w:r w:rsidRPr="00A42B3C">
              <w:rPr>
                <w:rFonts w:ascii="Calibri" w:hAnsi="Calibri" w:cs="Calibri"/>
                <w:b/>
                <w:bCs/>
                <w:strike/>
                <w:sz w:val="14"/>
                <w:szCs w:val="20"/>
                <w:lang w:val="en-GB"/>
              </w:rPr>
              <w:t>Member States shall ensure investor protection by allowing</w:t>
            </w:r>
            <w:r w:rsidRPr="00A42B3C">
              <w:rPr>
                <w:rFonts w:ascii="Calibri" w:hAnsi="Calibri" w:cs="Calibri"/>
                <w:sz w:val="14"/>
                <w:szCs w:val="20"/>
                <w:lang w:val="en-GB"/>
              </w:rPr>
              <w:t xml:space="preserve">   Derivative contracts </w:t>
            </w:r>
            <w:r w:rsidRPr="00A42B3C">
              <w:rPr>
                <w:rFonts w:ascii="Calibri" w:hAnsi="Calibri" w:cs="Calibri"/>
                <w:strike/>
                <w:sz w:val="14"/>
                <w:szCs w:val="20"/>
                <w:lang w:val="en-GB"/>
              </w:rPr>
              <w:t>to</w:t>
            </w:r>
            <w:r w:rsidRPr="00A42B3C">
              <w:rPr>
                <w:rFonts w:ascii="Calibri" w:hAnsi="Calibri" w:cs="Calibri"/>
                <w:b/>
                <w:bCs/>
                <w:sz w:val="14"/>
                <w:szCs w:val="20"/>
                <w:lang w:val="en-GB"/>
              </w:rPr>
              <w:t xml:space="preserve"> can </w:t>
            </w:r>
            <w:r w:rsidRPr="00A42B3C">
              <w:rPr>
                <w:rFonts w:ascii="Calibri" w:hAnsi="Calibri" w:cs="Calibri"/>
                <w:sz w:val="14"/>
                <w:szCs w:val="20"/>
                <w:lang w:val="en-GB"/>
              </w:rPr>
              <w:t xml:space="preserve">be included in the cover pool. </w:t>
            </w:r>
            <w:r w:rsidRPr="00A42B3C">
              <w:rPr>
                <w:rFonts w:ascii="Calibri" w:hAnsi="Calibri" w:cs="Calibri"/>
                <w:b/>
                <w:bCs/>
                <w:sz w:val="14"/>
                <w:szCs w:val="20"/>
                <w:lang w:val="en-GB"/>
              </w:rPr>
              <w:t>When derivatives are part of the cover pool</w:t>
            </w:r>
            <w:r w:rsidRPr="00A42B3C">
              <w:rPr>
                <w:rFonts w:ascii="Calibri" w:hAnsi="Calibri" w:cs="Calibri"/>
                <w:sz w:val="14"/>
                <w:szCs w:val="20"/>
                <w:lang w:val="en-GB"/>
              </w:rPr>
              <w:t xml:space="preserve">, </w:t>
            </w:r>
            <w:r w:rsidRPr="00A42B3C">
              <w:rPr>
                <w:rFonts w:ascii="Calibri" w:hAnsi="Calibri" w:cs="Calibri"/>
                <w:strike/>
                <w:sz w:val="14"/>
                <w:szCs w:val="20"/>
                <w:lang w:val="en-GB"/>
              </w:rPr>
              <w:t xml:space="preserve">only where </w:t>
            </w:r>
            <w:r w:rsidRPr="00A42B3C">
              <w:rPr>
                <w:rFonts w:ascii="Calibri" w:hAnsi="Calibri" w:cs="Calibri"/>
                <w:sz w:val="14"/>
                <w:szCs w:val="20"/>
                <w:lang w:val="en-GB"/>
              </w:rPr>
              <w:t>at least the following requirements are met:</w:t>
            </w:r>
            <w:r w:rsidRPr="00A42B3C">
              <w:rPr>
                <w:rFonts w:ascii="Calibri" w:hAnsi="Calibri" w:cs="Calibri"/>
                <w:sz w:val="14"/>
                <w:szCs w:val="20"/>
                <w:lang w:val="en-GB"/>
              </w:rPr>
              <w:br/>
              <w:t xml:space="preserve">[….]"                                                                                                                                                                                </w:t>
            </w:r>
            <w:r w:rsidRPr="00A42B3C">
              <w:rPr>
                <w:rFonts w:ascii="Calibri" w:hAnsi="Calibri" w:cs="Calibri"/>
                <w:b/>
                <w:bCs/>
                <w:sz w:val="14"/>
                <w:szCs w:val="20"/>
                <w:lang w:val="en-GB"/>
              </w:rPr>
              <w:t xml:space="preserve">                     </w:t>
            </w:r>
            <w:r w:rsidRPr="00A42B3C">
              <w:rPr>
                <w:rFonts w:ascii="Calibri" w:hAnsi="Calibri" w:cs="Calibri"/>
                <w:sz w:val="14"/>
                <w:szCs w:val="20"/>
                <w:lang w:val="en-GB"/>
              </w:rPr>
              <w:t xml:space="preserve">                                                                                                                               </w:t>
            </w:r>
            <w:r w:rsidRPr="00A42B3C">
              <w:rPr>
                <w:rFonts w:ascii="Calibri" w:hAnsi="Calibri" w:cs="Calibri"/>
                <w:b/>
                <w:bCs/>
                <w:sz w:val="14"/>
                <w:szCs w:val="20"/>
                <w:lang w:val="en-GB"/>
              </w:rPr>
              <w:t xml:space="preserve">                                              Regulation, Art. 129, 1 c:  " </w:t>
            </w:r>
            <w:r w:rsidRPr="00A42B3C">
              <w:rPr>
                <w:rFonts w:ascii="Calibri" w:hAnsi="Calibri" w:cs="Calibri"/>
                <w:sz w:val="14"/>
                <w:szCs w:val="20"/>
                <w:lang w:val="en-GB"/>
              </w:rPr>
              <w:t>exposures to credit institutions that qualify for the credit quality step 1 or credit quality step 2</w:t>
            </w:r>
            <w:r w:rsidRPr="00A42B3C">
              <w:rPr>
                <w:rFonts w:ascii="Calibri" w:hAnsi="Calibri" w:cs="Calibri"/>
                <w:b/>
                <w:bCs/>
                <w:sz w:val="14"/>
                <w:szCs w:val="20"/>
                <w:lang w:val="en-GB"/>
              </w:rPr>
              <w:t xml:space="preserve"> or credit quality step 3 </w:t>
            </w:r>
            <w:r w:rsidRPr="00A42B3C">
              <w:rPr>
                <w:rFonts w:ascii="Calibri" w:hAnsi="Calibri" w:cs="Calibri"/>
                <w:sz w:val="14"/>
                <w:szCs w:val="20"/>
                <w:lang w:val="en-GB"/>
              </w:rPr>
              <w:t>as set out in this Chapter</w:t>
            </w:r>
            <w:r w:rsidRPr="00A42B3C">
              <w:rPr>
                <w:rFonts w:ascii="Calibri" w:hAnsi="Calibri" w:cs="Calibri"/>
                <w:b/>
                <w:bCs/>
                <w:sz w:val="14"/>
                <w:szCs w:val="20"/>
                <w:lang w:val="en-GB"/>
              </w:rPr>
              <w:t>”.</w:t>
            </w:r>
          </w:p>
          <w:p w:rsidR="00EA7097" w:rsidRPr="00A42B3C" w:rsidRDefault="00EA7097" w:rsidP="00EA7097">
            <w:pPr>
              <w:jc w:val="both"/>
              <w:rPr>
                <w:rFonts w:asciiTheme="majorHAnsi" w:hAnsiTheme="majorHAnsi" w:cstheme="majorHAnsi"/>
                <w:sz w:val="14"/>
                <w:szCs w:val="16"/>
                <w:lang w:val="en-GB"/>
              </w:rPr>
            </w:pPr>
          </w:p>
        </w:tc>
        <w:tc>
          <w:tcPr>
            <w:tcW w:w="708" w:type="dxa"/>
            <w:vAlign w:val="center"/>
          </w:tcPr>
          <w:p w:rsidR="00EA7097" w:rsidRPr="00A42B3C" w:rsidRDefault="00EA7097" w:rsidP="00EA7097">
            <w:pPr>
              <w:jc w:val="both"/>
              <w:rPr>
                <w:rFonts w:asciiTheme="majorHAnsi" w:hAnsiTheme="majorHAnsi" w:cstheme="majorHAnsi"/>
                <w:b/>
                <w:bCs/>
                <w:color w:val="000000"/>
                <w:sz w:val="14"/>
                <w:szCs w:val="16"/>
                <w:lang w:val="en-GB"/>
              </w:rPr>
            </w:pPr>
            <w:r w:rsidRPr="00A42B3C">
              <w:rPr>
                <w:rFonts w:asciiTheme="majorHAnsi" w:hAnsiTheme="majorHAnsi" w:cstheme="majorHAnsi"/>
                <w:b/>
                <w:bCs/>
                <w:color w:val="000000"/>
                <w:sz w:val="14"/>
                <w:szCs w:val="16"/>
                <w:lang w:val="en-GB"/>
              </w:rPr>
              <w:t>EU</w:t>
            </w:r>
          </w:p>
        </w:tc>
      </w:tr>
      <w:tr w:rsidR="00EA7097" w:rsidRPr="00A42B3C" w:rsidTr="009F5A9A">
        <w:trPr>
          <w:trHeight w:val="475"/>
        </w:trPr>
        <w:tc>
          <w:tcPr>
            <w:tcW w:w="964" w:type="dxa"/>
            <w:vAlign w:val="center"/>
          </w:tcPr>
          <w:p w:rsidR="00EA7097" w:rsidRPr="00A42B3C" w:rsidRDefault="00EA7097" w:rsidP="00EA7097">
            <w:pPr>
              <w:rPr>
                <w:rFonts w:asciiTheme="majorHAnsi" w:hAnsiTheme="majorHAnsi" w:cstheme="majorHAnsi"/>
                <w:color w:val="000000"/>
                <w:sz w:val="14"/>
                <w:szCs w:val="16"/>
                <w:lang w:val="en-GB" w:eastAsia="en-GB"/>
              </w:rPr>
            </w:pPr>
            <w:r w:rsidRPr="00A42B3C">
              <w:rPr>
                <w:rFonts w:asciiTheme="majorHAnsi" w:hAnsiTheme="majorHAnsi" w:cstheme="majorHAnsi"/>
                <w:color w:val="000000"/>
                <w:sz w:val="14"/>
                <w:szCs w:val="16"/>
                <w:lang w:val="en-GB" w:eastAsia="en-GB"/>
              </w:rPr>
              <w:t>2</w:t>
            </w:r>
          </w:p>
        </w:tc>
        <w:tc>
          <w:tcPr>
            <w:tcW w:w="943" w:type="dxa"/>
            <w:shd w:val="clear" w:color="auto" w:fill="auto"/>
            <w:vAlign w:val="center"/>
          </w:tcPr>
          <w:p w:rsidR="00EA7097" w:rsidRPr="00A42B3C" w:rsidRDefault="00EA7097" w:rsidP="00EA7097">
            <w:pPr>
              <w:rPr>
                <w:rFonts w:asciiTheme="majorHAnsi" w:hAnsiTheme="majorHAnsi" w:cstheme="majorHAnsi"/>
                <w:sz w:val="14"/>
                <w:szCs w:val="16"/>
                <w:lang w:val="en-GB"/>
              </w:rPr>
            </w:pPr>
            <w:r w:rsidRPr="00A42B3C">
              <w:rPr>
                <w:rFonts w:asciiTheme="majorHAnsi" w:hAnsiTheme="majorHAnsi" w:cstheme="majorHAnsi"/>
                <w:sz w:val="14"/>
                <w:szCs w:val="16"/>
                <w:lang w:val="en-GB"/>
              </w:rPr>
              <w:t>Extendable maturity structures Directive: Recital 22; Art. 16, par 5       Regulation: Recital 12(b), Art. 129, par. 7b</w:t>
            </w:r>
          </w:p>
        </w:tc>
        <w:tc>
          <w:tcPr>
            <w:tcW w:w="2766" w:type="dxa"/>
            <w:shd w:val="clear" w:color="auto" w:fill="auto"/>
            <w:vAlign w:val="center"/>
          </w:tcPr>
          <w:p w:rsidR="00EA7097" w:rsidRPr="00A42B3C" w:rsidRDefault="00EA7097" w:rsidP="00EA7097">
            <w:pPr>
              <w:jc w:val="both"/>
              <w:rPr>
                <w:rFonts w:asciiTheme="majorHAnsi" w:hAnsiTheme="majorHAnsi" w:cstheme="majorHAnsi"/>
                <w:sz w:val="14"/>
                <w:szCs w:val="16"/>
                <w:lang w:val="en-GB"/>
              </w:rPr>
            </w:pPr>
            <w:r w:rsidRPr="00A42B3C">
              <w:rPr>
                <w:rFonts w:asciiTheme="majorHAnsi" w:hAnsiTheme="majorHAnsi" w:cstheme="majorHAnsi"/>
                <w:b/>
                <w:sz w:val="14"/>
                <w:szCs w:val="16"/>
                <w:lang w:val="en-GB"/>
              </w:rPr>
              <w:t>Directive, Recital 22:</w:t>
            </w:r>
            <w:r w:rsidRPr="00A42B3C">
              <w:rPr>
                <w:rFonts w:asciiTheme="majorHAnsi" w:hAnsiTheme="majorHAnsi" w:cstheme="majorHAnsi"/>
                <w:sz w:val="14"/>
                <w:szCs w:val="16"/>
                <w:lang w:val="en-GB"/>
              </w:rPr>
              <w:t xml:space="preserve"> " [...] While investors are free to invest in assets with increased risk, the preferential treatment of covered bonds with extendable maturity structures should be scaled down with increasing risk."</w:t>
            </w:r>
          </w:p>
          <w:p w:rsidR="00EA7097" w:rsidRPr="00A42B3C" w:rsidRDefault="00EA7097" w:rsidP="00EA7097">
            <w:pPr>
              <w:jc w:val="both"/>
              <w:rPr>
                <w:rFonts w:asciiTheme="majorHAnsi" w:hAnsiTheme="majorHAnsi" w:cstheme="majorHAnsi"/>
                <w:sz w:val="14"/>
                <w:szCs w:val="16"/>
                <w:lang w:val="en-GB"/>
              </w:rPr>
            </w:pPr>
          </w:p>
          <w:p w:rsidR="00EA7097" w:rsidRPr="00A42B3C" w:rsidRDefault="00EA7097" w:rsidP="00EA7097">
            <w:pPr>
              <w:jc w:val="both"/>
              <w:rPr>
                <w:rFonts w:asciiTheme="majorHAnsi" w:hAnsiTheme="majorHAnsi" w:cstheme="majorHAnsi"/>
                <w:sz w:val="14"/>
                <w:szCs w:val="16"/>
                <w:lang w:val="en-GB"/>
              </w:rPr>
            </w:pPr>
            <w:r w:rsidRPr="00A42B3C">
              <w:rPr>
                <w:rFonts w:asciiTheme="majorHAnsi" w:hAnsiTheme="majorHAnsi" w:cstheme="majorHAnsi"/>
                <w:b/>
                <w:sz w:val="14"/>
                <w:szCs w:val="16"/>
                <w:lang w:val="en-GB"/>
              </w:rPr>
              <w:t>Regulation, Recital (12b)</w:t>
            </w:r>
            <w:r w:rsidRPr="00A42B3C">
              <w:rPr>
                <w:rFonts w:asciiTheme="majorHAnsi" w:hAnsiTheme="majorHAnsi" w:cstheme="majorHAnsi"/>
                <w:sz w:val="14"/>
                <w:szCs w:val="16"/>
                <w:lang w:val="en-GB"/>
              </w:rPr>
              <w:t xml:space="preserve"> "Extendable maturities are a new development in the covered bond universe. They have not been taken into account when Article 129 of the CRR was devised. The possibility of maturity extensions makes covered bonds on the asset side of bank balances more risky - and less liquid in times of financial distress. This calls for increasing the risk weight. On the other hand, these bonds may be less risky if the maturity extension serves at preserving the value of cover pool assets by avoiding fire sales. This is an offsetting factor to the risk of reduced liquidity. For this reason, extendable maturities of one year or less should not be penalized with an increase in the risk factor. However, if asset prices have not recovered after a year, their reduced level may actually </w:t>
            </w:r>
            <w:r w:rsidRPr="00A42B3C">
              <w:rPr>
                <w:rFonts w:asciiTheme="majorHAnsi" w:hAnsiTheme="majorHAnsi" w:cstheme="majorHAnsi"/>
                <w:sz w:val="14"/>
                <w:szCs w:val="16"/>
                <w:lang w:val="en-GB"/>
              </w:rPr>
              <w:lastRenderedPageBreak/>
              <w:t>be persistent. Hence, covered bonds with maturity extensions of more than a year should be viewed as shifting risk from the issuer to the investor. Since this type of covered bond is of higher risk than a standard fixed maturity bond, an increased risk weight is warranted."</w:t>
            </w:r>
          </w:p>
          <w:p w:rsidR="00EA7097" w:rsidRPr="00A42B3C" w:rsidRDefault="00EA7097" w:rsidP="00EA7097">
            <w:pPr>
              <w:jc w:val="both"/>
              <w:rPr>
                <w:rFonts w:asciiTheme="majorHAnsi" w:hAnsiTheme="majorHAnsi" w:cstheme="majorHAnsi"/>
                <w:sz w:val="14"/>
                <w:szCs w:val="16"/>
                <w:lang w:val="en-GB"/>
              </w:rPr>
            </w:pPr>
          </w:p>
          <w:p w:rsidR="00EA7097" w:rsidRPr="00A42B3C" w:rsidRDefault="00EA7097" w:rsidP="00EA7097">
            <w:pPr>
              <w:jc w:val="both"/>
              <w:rPr>
                <w:rFonts w:asciiTheme="majorHAnsi" w:hAnsiTheme="majorHAnsi" w:cstheme="majorHAnsi"/>
                <w:sz w:val="14"/>
                <w:szCs w:val="16"/>
                <w:lang w:val="en-GB"/>
              </w:rPr>
            </w:pPr>
            <w:r w:rsidRPr="00A42B3C">
              <w:rPr>
                <w:rFonts w:asciiTheme="majorHAnsi" w:hAnsiTheme="majorHAnsi" w:cstheme="majorHAnsi"/>
                <w:b/>
                <w:sz w:val="14"/>
                <w:szCs w:val="16"/>
                <w:lang w:val="en-GB"/>
              </w:rPr>
              <w:t>Regulation, art. 129, par. 7b:</w:t>
            </w:r>
            <w:r w:rsidRPr="00A42B3C">
              <w:rPr>
                <w:rFonts w:asciiTheme="majorHAnsi" w:hAnsiTheme="majorHAnsi" w:cstheme="majorHAnsi"/>
                <w:sz w:val="14"/>
                <w:szCs w:val="16"/>
                <w:lang w:val="en-GB"/>
              </w:rPr>
              <w:t xml:space="preserve"> "The risk weights provided for in paragraphs 4, 5, and 8 shall be increased if the covered bond was issued with an extendable maturity structure under which its maturity can be extended by more than one year. The increase of the risk weight shall be equal to 5 percentage points if the maturity can be extended by at most three years; 10 percentage points if the maturity can be extended by at most five years; 15 percentage points if the maturity can be extended by at most ten years; 20 percentage points if the maturity can be extended by more than ten years. For the purpose of this Article, the length of a possible maturity extension is always the possible extension at the date of issue. "</w:t>
            </w:r>
          </w:p>
          <w:p w:rsidR="00EA7097" w:rsidRPr="00A42B3C" w:rsidRDefault="00EA7097" w:rsidP="00EA7097">
            <w:pPr>
              <w:jc w:val="both"/>
              <w:rPr>
                <w:rFonts w:asciiTheme="majorHAnsi" w:hAnsiTheme="majorHAnsi" w:cstheme="majorHAnsi"/>
                <w:sz w:val="14"/>
                <w:szCs w:val="16"/>
                <w:lang w:val="en-GB"/>
              </w:rPr>
            </w:pPr>
          </w:p>
          <w:p w:rsidR="00EA7097" w:rsidRPr="00A42B3C" w:rsidRDefault="00EA7097" w:rsidP="00EA7097">
            <w:pPr>
              <w:jc w:val="both"/>
              <w:rPr>
                <w:rFonts w:asciiTheme="majorHAnsi" w:hAnsiTheme="majorHAnsi" w:cstheme="majorHAnsi"/>
                <w:sz w:val="14"/>
                <w:szCs w:val="16"/>
                <w:lang w:val="en-GB"/>
              </w:rPr>
            </w:pPr>
            <w:r w:rsidRPr="00A42B3C">
              <w:rPr>
                <w:rFonts w:asciiTheme="majorHAnsi" w:hAnsiTheme="majorHAnsi" w:cstheme="majorHAnsi"/>
                <w:b/>
                <w:sz w:val="14"/>
                <w:szCs w:val="16"/>
                <w:lang w:val="en-GB"/>
              </w:rPr>
              <w:t>Directive, Art. 16, par. 5</w:t>
            </w:r>
            <w:r w:rsidRPr="00A42B3C">
              <w:rPr>
                <w:rFonts w:asciiTheme="majorHAnsi" w:hAnsiTheme="majorHAnsi" w:cstheme="majorHAnsi"/>
                <w:sz w:val="14"/>
                <w:szCs w:val="16"/>
                <w:lang w:val="en-GB"/>
              </w:rPr>
              <w:t>: " For extendable maturity structures, Member States shall ensure that the liquidity requirements for the repayment of principal are updated after a possible maturity extension so that they always match the payment needs at the time at which the principal is due."</w:t>
            </w:r>
          </w:p>
        </w:tc>
        <w:tc>
          <w:tcPr>
            <w:tcW w:w="2410" w:type="dxa"/>
            <w:shd w:val="clear" w:color="auto" w:fill="auto"/>
            <w:vAlign w:val="center"/>
          </w:tcPr>
          <w:p w:rsidR="00EA7097" w:rsidRPr="00A42B3C" w:rsidRDefault="00EA7097" w:rsidP="00EA7097">
            <w:pPr>
              <w:jc w:val="both"/>
              <w:rPr>
                <w:rFonts w:asciiTheme="majorHAnsi" w:hAnsiTheme="majorHAnsi" w:cstheme="majorHAnsi"/>
                <w:sz w:val="14"/>
                <w:szCs w:val="16"/>
                <w:lang w:val="en-GB"/>
              </w:rPr>
            </w:pPr>
            <w:r w:rsidRPr="00A42B3C">
              <w:rPr>
                <w:rFonts w:asciiTheme="majorHAnsi" w:hAnsiTheme="majorHAnsi" w:cstheme="majorHAnsi"/>
                <w:sz w:val="14"/>
                <w:szCs w:val="16"/>
                <w:lang w:val="en-GB"/>
              </w:rPr>
              <w:lastRenderedPageBreak/>
              <w:t>The Rapporteur proposes to amend Article 129 CRR by a new paragraph 9, which gradually increases the risk weight for covered bonds whose maturity can be extended by more than a year. It is worth noting that covered bonds with extendable maturities (soft bullet and conditional pass through) account for more than 50% of the new issuances over the last years at EU level.</w:t>
            </w:r>
          </w:p>
        </w:tc>
        <w:tc>
          <w:tcPr>
            <w:tcW w:w="3544" w:type="dxa"/>
            <w:shd w:val="clear" w:color="auto" w:fill="auto"/>
            <w:vAlign w:val="center"/>
          </w:tcPr>
          <w:p w:rsidR="00EA7097" w:rsidRPr="00A42B3C" w:rsidRDefault="00EA7097" w:rsidP="00EA7097">
            <w:pPr>
              <w:autoSpaceDE w:val="0"/>
              <w:autoSpaceDN w:val="0"/>
              <w:adjustRightInd w:val="0"/>
              <w:jc w:val="both"/>
              <w:rPr>
                <w:rFonts w:asciiTheme="majorHAnsi" w:hAnsiTheme="majorHAnsi" w:cstheme="majorHAnsi"/>
                <w:sz w:val="14"/>
                <w:szCs w:val="16"/>
                <w:lang w:val="en-GB"/>
              </w:rPr>
            </w:pPr>
            <w:r w:rsidRPr="00A42B3C">
              <w:rPr>
                <w:rFonts w:asciiTheme="majorHAnsi" w:hAnsiTheme="majorHAnsi" w:cstheme="majorHAnsi"/>
                <w:sz w:val="14"/>
                <w:szCs w:val="16"/>
                <w:lang w:val="en-GB"/>
              </w:rPr>
              <w:t xml:space="preserve">The different prudential treatment proposed by the Rapporteur for CB programmes with extendable maturities structures bring negative disruptive consequences in many EU markets, as Italy. Soft bullet or conditional pass-through structures smooth liquidity concerns embedded in the hard bullet model whose lack of flexibility in liquidating the cover pool could pave the way for a potential large fire sale that has to be addressed by requiring a specific liquidity buffer for each maturing bond. Conversely, in absence of a liquid and depth secondary mortgage market the extendable maturity structures provide to the investors additional relief reducing the expected losses associated to the cover pools.   </w:t>
            </w:r>
          </w:p>
          <w:p w:rsidR="00EA7097" w:rsidRPr="00A42B3C" w:rsidRDefault="00EA7097" w:rsidP="00EA7097">
            <w:pPr>
              <w:autoSpaceDE w:val="0"/>
              <w:autoSpaceDN w:val="0"/>
              <w:adjustRightInd w:val="0"/>
              <w:jc w:val="both"/>
              <w:rPr>
                <w:rFonts w:asciiTheme="majorHAnsi" w:hAnsiTheme="majorHAnsi" w:cstheme="majorHAnsi"/>
                <w:sz w:val="14"/>
                <w:szCs w:val="16"/>
                <w:lang w:val="en-GB"/>
              </w:rPr>
            </w:pPr>
            <w:r w:rsidRPr="00A42B3C">
              <w:rPr>
                <w:rFonts w:asciiTheme="majorHAnsi" w:hAnsiTheme="majorHAnsi" w:cstheme="majorHAnsi"/>
                <w:sz w:val="14"/>
                <w:szCs w:val="16"/>
                <w:lang w:val="en-GB"/>
              </w:rPr>
              <w:t xml:space="preserve">In fact, structures with extendable maturities reduce the probability of default of covered bonds and mitigate the physiological illiquidity of mortgage loans/public assets’ secondary markets. After the issuer event of default, the Portfolio Manager could sell part of the cover pool in order to match payments due to the investors and other CB counterparties: the extension of the CB maturity would provide to the Portfolio Manager some flexibility during the sale of selected assets procedure, limiting the risks for the SPV in the fire-sale. We strongly support the principle that the switch to the extendable maturity phase of the </w:t>
            </w:r>
            <w:r w:rsidRPr="00A42B3C">
              <w:rPr>
                <w:rFonts w:asciiTheme="majorHAnsi" w:hAnsiTheme="majorHAnsi" w:cstheme="majorHAnsi"/>
                <w:sz w:val="14"/>
                <w:szCs w:val="16"/>
                <w:lang w:val="en-GB"/>
              </w:rPr>
              <w:lastRenderedPageBreak/>
              <w:t xml:space="preserve">guaranteed bonds must not be discretionary in order </w:t>
            </w:r>
            <w:r w:rsidR="00716156" w:rsidRPr="00A42B3C">
              <w:rPr>
                <w:rFonts w:asciiTheme="majorHAnsi" w:hAnsiTheme="majorHAnsi" w:cstheme="majorHAnsi"/>
                <w:sz w:val="14"/>
                <w:szCs w:val="16"/>
                <w:lang w:val="en-GB"/>
              </w:rPr>
              <w:t>to avoid</w:t>
            </w:r>
            <w:r w:rsidRPr="00A42B3C">
              <w:rPr>
                <w:rFonts w:asciiTheme="majorHAnsi" w:hAnsiTheme="majorHAnsi" w:cstheme="majorHAnsi"/>
                <w:sz w:val="14"/>
                <w:szCs w:val="16"/>
                <w:lang w:val="en-GB"/>
              </w:rPr>
              <w:t xml:space="preserve"> any regulatory arbitrage amongst asset classes.   </w:t>
            </w:r>
          </w:p>
          <w:p w:rsidR="00EA7097" w:rsidRPr="00A42B3C" w:rsidRDefault="00EA7097" w:rsidP="00EA7097">
            <w:pPr>
              <w:autoSpaceDE w:val="0"/>
              <w:autoSpaceDN w:val="0"/>
              <w:adjustRightInd w:val="0"/>
              <w:jc w:val="both"/>
              <w:rPr>
                <w:rFonts w:asciiTheme="majorHAnsi" w:hAnsiTheme="majorHAnsi" w:cstheme="majorHAnsi"/>
                <w:sz w:val="14"/>
                <w:szCs w:val="16"/>
                <w:lang w:val="en-GB"/>
              </w:rPr>
            </w:pPr>
            <w:r w:rsidRPr="00A42B3C">
              <w:rPr>
                <w:rFonts w:asciiTheme="majorHAnsi" w:hAnsiTheme="majorHAnsi" w:cstheme="majorHAnsi"/>
                <w:sz w:val="14"/>
                <w:szCs w:val="16"/>
                <w:lang w:val="en-GB"/>
              </w:rPr>
              <w:t xml:space="preserve">The importance of these structures is also recognised by investors. They have welcomed these structures without requiring additional premia; in particular, these structures have enhanced their level of comfort and transparency in case of insolvency scenarios. These structures represent a soft element not a hard element which is very much linked to investor appetite and market conditions. Bringing rigidity around this concept could trigger market disruptions in terms of the </w:t>
            </w:r>
            <w:r w:rsidR="00716156" w:rsidRPr="00A42B3C">
              <w:rPr>
                <w:rFonts w:asciiTheme="majorHAnsi" w:hAnsiTheme="majorHAnsi" w:cstheme="majorHAnsi"/>
                <w:sz w:val="14"/>
                <w:szCs w:val="16"/>
                <w:lang w:val="en-GB"/>
              </w:rPr>
              <w:t>investors’</w:t>
            </w:r>
            <w:r w:rsidRPr="00A42B3C">
              <w:rPr>
                <w:rFonts w:asciiTheme="majorHAnsi" w:hAnsiTheme="majorHAnsi" w:cstheme="majorHAnsi"/>
                <w:sz w:val="14"/>
                <w:szCs w:val="16"/>
                <w:lang w:val="en-GB"/>
              </w:rPr>
              <w:t xml:space="preserve"> perceptions and ultimate impact on the funding costs of issuers.</w:t>
            </w:r>
          </w:p>
          <w:p w:rsidR="00EA7097" w:rsidRPr="00A42B3C" w:rsidRDefault="00EA7097" w:rsidP="00EA7097">
            <w:pPr>
              <w:autoSpaceDE w:val="0"/>
              <w:autoSpaceDN w:val="0"/>
              <w:adjustRightInd w:val="0"/>
              <w:jc w:val="both"/>
              <w:rPr>
                <w:rFonts w:asciiTheme="majorHAnsi" w:hAnsiTheme="majorHAnsi" w:cstheme="majorHAnsi"/>
                <w:sz w:val="14"/>
                <w:szCs w:val="16"/>
                <w:lang w:val="en-GB"/>
              </w:rPr>
            </w:pPr>
            <w:r w:rsidRPr="00A42B3C">
              <w:rPr>
                <w:rFonts w:asciiTheme="majorHAnsi" w:hAnsiTheme="majorHAnsi" w:cstheme="majorHAnsi"/>
                <w:sz w:val="14"/>
                <w:szCs w:val="16"/>
                <w:lang w:val="en-GB"/>
              </w:rPr>
              <w:t xml:space="preserve">The introduction of a different regulatory framework for these structures could be priced in by investors making these structures artificially different from the conceptual nature of other CB structures. </w:t>
            </w:r>
          </w:p>
          <w:p w:rsidR="00EA7097" w:rsidRPr="00A42B3C" w:rsidRDefault="00EA7097" w:rsidP="00EA7097">
            <w:pPr>
              <w:autoSpaceDE w:val="0"/>
              <w:autoSpaceDN w:val="0"/>
              <w:adjustRightInd w:val="0"/>
              <w:jc w:val="both"/>
              <w:rPr>
                <w:rFonts w:asciiTheme="majorHAnsi" w:hAnsiTheme="majorHAnsi" w:cstheme="majorHAnsi"/>
                <w:sz w:val="14"/>
                <w:szCs w:val="16"/>
                <w:lang w:val="en-GB"/>
              </w:rPr>
            </w:pPr>
            <w:r w:rsidRPr="00A42B3C">
              <w:rPr>
                <w:rFonts w:asciiTheme="majorHAnsi" w:hAnsiTheme="majorHAnsi" w:cstheme="majorHAnsi"/>
                <w:sz w:val="14"/>
                <w:szCs w:val="16"/>
                <w:lang w:val="en-GB"/>
              </w:rPr>
              <w:t>In relation to above, the proposal of a different prudential treatment for extendable maturities structures should be deleted.</w:t>
            </w:r>
          </w:p>
          <w:p w:rsidR="00EA7097" w:rsidRPr="00A42B3C" w:rsidRDefault="00EA7097" w:rsidP="00EA7097">
            <w:pPr>
              <w:autoSpaceDE w:val="0"/>
              <w:autoSpaceDN w:val="0"/>
              <w:adjustRightInd w:val="0"/>
              <w:jc w:val="both"/>
              <w:rPr>
                <w:rFonts w:asciiTheme="majorHAnsi" w:hAnsiTheme="majorHAnsi" w:cstheme="majorHAnsi"/>
                <w:sz w:val="14"/>
                <w:szCs w:val="16"/>
                <w:lang w:val="en-GB"/>
              </w:rPr>
            </w:pPr>
            <w:r w:rsidRPr="00A42B3C">
              <w:rPr>
                <w:rFonts w:asciiTheme="majorHAnsi" w:hAnsiTheme="majorHAnsi" w:cstheme="majorHAnsi"/>
                <w:sz w:val="14"/>
                <w:szCs w:val="16"/>
                <w:lang w:val="en-GB"/>
              </w:rPr>
              <w:t xml:space="preserve">Moreover, it is necessary to clarify that the liquidity buffer is not required in relation to “soft bullet” or “conditional pass </w:t>
            </w:r>
            <w:r w:rsidR="00716156" w:rsidRPr="00A42B3C">
              <w:rPr>
                <w:rFonts w:asciiTheme="majorHAnsi" w:hAnsiTheme="majorHAnsi" w:cstheme="majorHAnsi"/>
                <w:sz w:val="14"/>
                <w:szCs w:val="16"/>
                <w:lang w:val="en-GB"/>
              </w:rPr>
              <w:t>through”</w:t>
            </w:r>
            <w:r w:rsidRPr="00A42B3C">
              <w:rPr>
                <w:rFonts w:asciiTheme="majorHAnsi" w:hAnsiTheme="majorHAnsi" w:cstheme="majorHAnsi"/>
                <w:sz w:val="14"/>
                <w:szCs w:val="16"/>
                <w:lang w:val="en-GB"/>
              </w:rPr>
              <w:t xml:space="preserve"> structures, according to art. 16, par 5.</w:t>
            </w:r>
          </w:p>
        </w:tc>
        <w:tc>
          <w:tcPr>
            <w:tcW w:w="992" w:type="dxa"/>
            <w:shd w:val="clear" w:color="auto" w:fill="auto"/>
            <w:vAlign w:val="center"/>
          </w:tcPr>
          <w:p w:rsidR="00EA7097" w:rsidRPr="00A42B3C" w:rsidRDefault="00EA7097" w:rsidP="00EA7097">
            <w:pPr>
              <w:rPr>
                <w:rFonts w:asciiTheme="majorHAnsi" w:hAnsiTheme="majorHAnsi" w:cstheme="majorHAnsi"/>
                <w:sz w:val="14"/>
                <w:szCs w:val="16"/>
                <w:lang w:val="en-GB"/>
              </w:rPr>
            </w:pPr>
            <w:r w:rsidRPr="00A42B3C">
              <w:rPr>
                <w:rFonts w:asciiTheme="majorHAnsi" w:hAnsiTheme="majorHAnsi" w:cstheme="majorHAnsi"/>
                <w:sz w:val="14"/>
                <w:szCs w:val="16"/>
                <w:lang w:val="en-GB"/>
              </w:rPr>
              <w:lastRenderedPageBreak/>
              <w:t>High</w:t>
            </w:r>
          </w:p>
        </w:tc>
        <w:tc>
          <w:tcPr>
            <w:tcW w:w="1843" w:type="dxa"/>
            <w:shd w:val="clear" w:color="auto" w:fill="auto"/>
            <w:vAlign w:val="center"/>
          </w:tcPr>
          <w:p w:rsidR="00EA7097" w:rsidRPr="00A42B3C" w:rsidRDefault="00EA7097" w:rsidP="00EA7097">
            <w:pPr>
              <w:jc w:val="both"/>
              <w:rPr>
                <w:rFonts w:asciiTheme="majorHAnsi" w:hAnsiTheme="majorHAnsi" w:cstheme="majorHAnsi"/>
                <w:b/>
                <w:sz w:val="14"/>
                <w:szCs w:val="16"/>
                <w:lang w:val="en-GB"/>
              </w:rPr>
            </w:pPr>
            <w:r w:rsidRPr="00A42B3C">
              <w:rPr>
                <w:rFonts w:asciiTheme="majorHAnsi" w:hAnsiTheme="majorHAnsi" w:cstheme="majorHAnsi"/>
                <w:b/>
                <w:sz w:val="14"/>
                <w:szCs w:val="16"/>
                <w:lang w:val="en-GB"/>
              </w:rPr>
              <w:t>Directive, Recital 22, is deleted Regulation, Recital 12b is deleted Regulation, art. 129, par.7b, is deleted</w:t>
            </w:r>
          </w:p>
        </w:tc>
        <w:tc>
          <w:tcPr>
            <w:tcW w:w="708" w:type="dxa"/>
          </w:tcPr>
          <w:p w:rsidR="00EA7097" w:rsidRPr="00A42B3C" w:rsidRDefault="00EA7097" w:rsidP="00EA7097">
            <w:pPr>
              <w:rPr>
                <w:rFonts w:asciiTheme="majorHAnsi" w:hAnsiTheme="majorHAnsi" w:cstheme="majorHAnsi"/>
                <w:sz w:val="14"/>
                <w:szCs w:val="16"/>
                <w:lang w:val="en-GB"/>
              </w:rPr>
            </w:pPr>
            <w:r w:rsidRPr="00A42B3C">
              <w:rPr>
                <w:rFonts w:asciiTheme="majorHAnsi" w:hAnsiTheme="majorHAnsi" w:cstheme="majorHAnsi"/>
                <w:sz w:val="14"/>
                <w:szCs w:val="16"/>
                <w:lang w:val="en-GB"/>
              </w:rPr>
              <w:t>EU</w:t>
            </w:r>
          </w:p>
        </w:tc>
      </w:tr>
      <w:tr w:rsidR="00EA7097" w:rsidRPr="00A42B3C" w:rsidTr="009F5A9A">
        <w:trPr>
          <w:trHeight w:val="475"/>
        </w:trPr>
        <w:tc>
          <w:tcPr>
            <w:tcW w:w="964" w:type="dxa"/>
            <w:vAlign w:val="center"/>
          </w:tcPr>
          <w:p w:rsidR="00EA7097" w:rsidRPr="00A42B3C" w:rsidRDefault="00EA7097" w:rsidP="00EA7097">
            <w:pPr>
              <w:rPr>
                <w:rFonts w:asciiTheme="majorHAnsi" w:hAnsiTheme="majorHAnsi" w:cstheme="majorHAnsi"/>
                <w:color w:val="000000"/>
                <w:sz w:val="14"/>
                <w:szCs w:val="16"/>
                <w:lang w:val="en-GB" w:eastAsia="en-GB"/>
              </w:rPr>
            </w:pPr>
            <w:r w:rsidRPr="00A42B3C">
              <w:rPr>
                <w:rFonts w:asciiTheme="majorHAnsi" w:hAnsiTheme="majorHAnsi" w:cstheme="majorHAnsi"/>
                <w:color w:val="000000"/>
                <w:sz w:val="14"/>
                <w:szCs w:val="16"/>
                <w:lang w:val="en-GB" w:eastAsia="en-GB"/>
              </w:rPr>
              <w:t>3</w:t>
            </w:r>
          </w:p>
        </w:tc>
        <w:tc>
          <w:tcPr>
            <w:tcW w:w="943" w:type="dxa"/>
            <w:shd w:val="clear" w:color="auto" w:fill="auto"/>
            <w:vAlign w:val="center"/>
          </w:tcPr>
          <w:p w:rsidR="00EA7097" w:rsidRPr="00A42B3C" w:rsidRDefault="00EA7097" w:rsidP="00EA7097">
            <w:pPr>
              <w:jc w:val="both"/>
              <w:rPr>
                <w:rFonts w:asciiTheme="majorHAnsi" w:hAnsiTheme="majorHAnsi" w:cstheme="majorHAnsi"/>
                <w:sz w:val="14"/>
                <w:szCs w:val="16"/>
                <w:lang w:val="en-GB"/>
              </w:rPr>
            </w:pPr>
            <w:r w:rsidRPr="00A42B3C">
              <w:rPr>
                <w:rFonts w:asciiTheme="majorHAnsi" w:hAnsiTheme="majorHAnsi" w:cstheme="majorHAnsi"/>
                <w:b/>
                <w:sz w:val="14"/>
                <w:szCs w:val="16"/>
                <w:lang w:val="en-GB"/>
              </w:rPr>
              <w:t>Ordinary Covered Bonds</w:t>
            </w:r>
            <w:r w:rsidRPr="00A42B3C">
              <w:rPr>
                <w:rFonts w:asciiTheme="majorHAnsi" w:hAnsiTheme="majorHAnsi" w:cstheme="majorHAnsi"/>
                <w:sz w:val="14"/>
                <w:szCs w:val="16"/>
                <w:lang w:val="en-GB"/>
              </w:rPr>
              <w:t xml:space="preserve">                                     Directive: Art. 6a</w:t>
            </w:r>
          </w:p>
        </w:tc>
        <w:tc>
          <w:tcPr>
            <w:tcW w:w="2766" w:type="dxa"/>
            <w:shd w:val="clear" w:color="auto" w:fill="auto"/>
            <w:vAlign w:val="center"/>
          </w:tcPr>
          <w:p w:rsidR="00EA7097" w:rsidRPr="00A42B3C" w:rsidRDefault="00EA7097" w:rsidP="00EA7097">
            <w:pPr>
              <w:pStyle w:val="Default"/>
              <w:jc w:val="both"/>
              <w:rPr>
                <w:rFonts w:asciiTheme="majorHAnsi" w:eastAsiaTheme="minorHAnsi" w:hAnsiTheme="majorHAnsi" w:cstheme="majorHAnsi"/>
                <w:color w:val="auto"/>
                <w:sz w:val="14"/>
                <w:szCs w:val="16"/>
                <w:lang w:val="en-GB" w:eastAsia="en-US"/>
              </w:rPr>
            </w:pPr>
            <w:r w:rsidRPr="00A42B3C">
              <w:rPr>
                <w:rFonts w:asciiTheme="majorHAnsi" w:eastAsiaTheme="minorHAnsi" w:hAnsiTheme="majorHAnsi" w:cstheme="majorHAnsi"/>
                <w:color w:val="auto"/>
                <w:sz w:val="14"/>
                <w:szCs w:val="16"/>
                <w:lang w:val="en-GB" w:eastAsia="en-US"/>
              </w:rPr>
              <w:t>Directive, Art. 6 a</w:t>
            </w:r>
          </w:p>
        </w:tc>
        <w:tc>
          <w:tcPr>
            <w:tcW w:w="2410" w:type="dxa"/>
            <w:shd w:val="clear" w:color="auto" w:fill="auto"/>
            <w:vAlign w:val="center"/>
          </w:tcPr>
          <w:p w:rsidR="00EA7097" w:rsidRPr="00A42B3C" w:rsidRDefault="00EA7097" w:rsidP="00EA7097">
            <w:pPr>
              <w:jc w:val="both"/>
              <w:rPr>
                <w:rFonts w:asciiTheme="majorHAnsi" w:hAnsiTheme="majorHAnsi" w:cstheme="majorHAnsi"/>
                <w:sz w:val="14"/>
                <w:szCs w:val="16"/>
                <w:lang w:val="en-GB"/>
              </w:rPr>
            </w:pPr>
            <w:r w:rsidRPr="00A42B3C">
              <w:rPr>
                <w:rFonts w:asciiTheme="majorHAnsi" w:hAnsiTheme="majorHAnsi" w:cstheme="majorHAnsi"/>
                <w:sz w:val="14"/>
                <w:szCs w:val="16"/>
                <w:lang w:val="en-GB"/>
              </w:rPr>
              <w:t xml:space="preserve">The Article 6a proposed by the Rapporteur allows for a broad range of non-CRR-compliant cover assets. As highlighted also by the Rapporteur, even assets which have been mentioned under the European Secured Notes (ESN) proposal in the INI report - such as SMEs credits - might be considered.                                                                   Furthermore, we are in principle very cautious in evaluating the split of the ‘traditional’ Covered Bonds between Premium and Ordinary as at this stage neither from the investor side nor from the issuer side questions about this point have ever been raised.     </w:t>
            </w:r>
          </w:p>
        </w:tc>
        <w:tc>
          <w:tcPr>
            <w:tcW w:w="3544" w:type="dxa"/>
            <w:shd w:val="clear" w:color="auto" w:fill="auto"/>
            <w:vAlign w:val="center"/>
          </w:tcPr>
          <w:p w:rsidR="00EA7097" w:rsidRPr="00A42B3C" w:rsidRDefault="00EA7097" w:rsidP="00EA7097">
            <w:pPr>
              <w:jc w:val="both"/>
              <w:rPr>
                <w:rFonts w:asciiTheme="majorHAnsi" w:hAnsiTheme="majorHAnsi" w:cstheme="majorHAnsi"/>
                <w:sz w:val="14"/>
                <w:szCs w:val="16"/>
                <w:lang w:val="en-GB"/>
              </w:rPr>
            </w:pPr>
            <w:r w:rsidRPr="00A42B3C">
              <w:rPr>
                <w:rFonts w:asciiTheme="majorHAnsi" w:hAnsiTheme="majorHAnsi" w:cstheme="majorHAnsi"/>
                <w:sz w:val="14"/>
                <w:szCs w:val="16"/>
                <w:lang w:val="en-GB"/>
              </w:rPr>
              <w:t>We strongly believe that the banking industry needs a new dual recourse funding instrument for SMEs financing. Article 6a introduces a new category of instrument labelled as covered bond (OCB) that could meet this need. Although, the requirements for eligible cover assets seem to be envisaged for assets different from SMEs exposures and in practice there is no room to use this new instrument for SME financing. For this reason, we propose to reconsider the introduction of the “European Secured Notes” as SMEs funding instrument, as originally proposed in July 2017 also by the European Parliament in the INI Report (“Towards a pan-European covered bonds framework”). In alternative, we call for a revision of eligible criteria of OCB cover assets, that allows for the possibility to have SME portfolios to collateralise OCB issues. Concerning the proposed OCB category, it is essential to be cautious as many current covered bonds that are not CRR compliant or which may lose the CRR eligibility may also fall outside the scope of the OCB category. This would clearly be a paradox and should be avoided.</w:t>
            </w:r>
          </w:p>
        </w:tc>
        <w:tc>
          <w:tcPr>
            <w:tcW w:w="992" w:type="dxa"/>
            <w:shd w:val="clear" w:color="auto" w:fill="auto"/>
            <w:vAlign w:val="center"/>
          </w:tcPr>
          <w:p w:rsidR="00EA7097" w:rsidRPr="00A42B3C" w:rsidRDefault="00EA7097" w:rsidP="00EA7097">
            <w:pPr>
              <w:jc w:val="both"/>
              <w:rPr>
                <w:rFonts w:asciiTheme="majorHAnsi" w:hAnsiTheme="majorHAnsi" w:cstheme="majorHAnsi"/>
                <w:sz w:val="14"/>
                <w:szCs w:val="16"/>
                <w:lang w:val="en-GB"/>
              </w:rPr>
            </w:pPr>
            <w:r w:rsidRPr="00A42B3C">
              <w:rPr>
                <w:rFonts w:asciiTheme="majorHAnsi" w:hAnsiTheme="majorHAnsi" w:cstheme="majorHAnsi"/>
                <w:sz w:val="14"/>
                <w:szCs w:val="16"/>
                <w:lang w:val="en-GB"/>
              </w:rPr>
              <w:t>High</w:t>
            </w:r>
          </w:p>
        </w:tc>
        <w:tc>
          <w:tcPr>
            <w:tcW w:w="1843" w:type="dxa"/>
            <w:shd w:val="clear" w:color="auto" w:fill="auto"/>
            <w:vAlign w:val="center"/>
          </w:tcPr>
          <w:p w:rsidR="00EA7097" w:rsidRPr="00A42B3C" w:rsidRDefault="00EA7097" w:rsidP="00EA7097">
            <w:pPr>
              <w:pStyle w:val="Default"/>
              <w:jc w:val="both"/>
              <w:rPr>
                <w:rFonts w:asciiTheme="majorHAnsi" w:hAnsiTheme="majorHAnsi" w:cstheme="majorHAnsi"/>
                <w:b/>
                <w:sz w:val="14"/>
                <w:szCs w:val="16"/>
                <w:lang w:val="en-GB"/>
              </w:rPr>
            </w:pPr>
            <w:r w:rsidRPr="00A42B3C">
              <w:rPr>
                <w:rFonts w:asciiTheme="majorHAnsi" w:hAnsiTheme="majorHAnsi" w:cstheme="majorHAnsi"/>
                <w:b/>
                <w:sz w:val="14"/>
                <w:szCs w:val="16"/>
                <w:lang w:val="en-GB"/>
              </w:rPr>
              <w:t>Art. 6b "1. Member States may allow credit institutions issuing debt instruments which meet the requirements laid down in this Directive, covered by SMEs exposures. These new instruments are labelled “European Secured Notes” (ESNs).</w:t>
            </w:r>
          </w:p>
          <w:p w:rsidR="00EA7097" w:rsidRPr="00A42B3C" w:rsidRDefault="00EA7097" w:rsidP="00EA7097">
            <w:pPr>
              <w:pStyle w:val="Default"/>
              <w:jc w:val="both"/>
              <w:rPr>
                <w:rFonts w:asciiTheme="majorHAnsi" w:hAnsiTheme="majorHAnsi" w:cstheme="majorHAnsi"/>
                <w:b/>
                <w:sz w:val="14"/>
                <w:szCs w:val="16"/>
                <w:lang w:val="en-GB"/>
              </w:rPr>
            </w:pPr>
            <w:r w:rsidRPr="00A42B3C">
              <w:rPr>
                <w:rFonts w:asciiTheme="majorHAnsi" w:hAnsiTheme="majorHAnsi" w:cstheme="majorHAnsi"/>
                <w:b/>
                <w:sz w:val="14"/>
                <w:szCs w:val="16"/>
                <w:lang w:val="en-GB"/>
              </w:rPr>
              <w:t>2. EBA lays down the minimum requirements that SMEs exposures have to meet.</w:t>
            </w:r>
          </w:p>
          <w:p w:rsidR="00EA7097" w:rsidRPr="00A42B3C" w:rsidRDefault="00EA7097" w:rsidP="00EA7097">
            <w:pPr>
              <w:pStyle w:val="Default"/>
              <w:jc w:val="both"/>
              <w:rPr>
                <w:rFonts w:asciiTheme="majorHAnsi" w:hAnsiTheme="majorHAnsi" w:cstheme="majorHAnsi"/>
                <w:sz w:val="14"/>
                <w:szCs w:val="16"/>
                <w:lang w:val="en-GB"/>
              </w:rPr>
            </w:pPr>
            <w:r w:rsidRPr="00A42B3C">
              <w:rPr>
                <w:rFonts w:asciiTheme="majorHAnsi" w:hAnsiTheme="majorHAnsi" w:cstheme="majorHAnsi"/>
                <w:b/>
                <w:sz w:val="14"/>
                <w:szCs w:val="16"/>
                <w:lang w:val="en-GB"/>
              </w:rPr>
              <w:t>3. The Regulation (EU) 575/2013 allows for a preferential treatment of ESNs.”</w:t>
            </w:r>
          </w:p>
        </w:tc>
        <w:tc>
          <w:tcPr>
            <w:tcW w:w="708" w:type="dxa"/>
            <w:vAlign w:val="center"/>
          </w:tcPr>
          <w:p w:rsidR="00EA7097" w:rsidRPr="00A42B3C" w:rsidRDefault="00EA7097" w:rsidP="00EA7097">
            <w:pPr>
              <w:pStyle w:val="Default"/>
              <w:jc w:val="both"/>
              <w:rPr>
                <w:rFonts w:asciiTheme="majorHAnsi" w:hAnsiTheme="majorHAnsi" w:cstheme="majorHAnsi"/>
                <w:sz w:val="14"/>
                <w:szCs w:val="16"/>
                <w:lang w:val="en-GB"/>
              </w:rPr>
            </w:pPr>
            <w:r w:rsidRPr="00A42B3C">
              <w:rPr>
                <w:rFonts w:asciiTheme="majorHAnsi" w:hAnsiTheme="majorHAnsi" w:cstheme="majorHAnsi"/>
                <w:sz w:val="14"/>
                <w:szCs w:val="16"/>
                <w:lang w:val="en-GB"/>
              </w:rPr>
              <w:t>EU</w:t>
            </w:r>
          </w:p>
        </w:tc>
      </w:tr>
      <w:tr w:rsidR="00EA7097" w:rsidRPr="00A42B3C" w:rsidTr="009F5A9A">
        <w:trPr>
          <w:trHeight w:val="475"/>
        </w:trPr>
        <w:tc>
          <w:tcPr>
            <w:tcW w:w="964" w:type="dxa"/>
            <w:vAlign w:val="center"/>
          </w:tcPr>
          <w:p w:rsidR="00EA7097" w:rsidRPr="00A42B3C" w:rsidRDefault="00EA7097" w:rsidP="00EA7097">
            <w:pPr>
              <w:rPr>
                <w:rFonts w:asciiTheme="majorHAnsi" w:hAnsiTheme="majorHAnsi" w:cstheme="majorHAnsi"/>
                <w:color w:val="000000"/>
                <w:sz w:val="14"/>
                <w:szCs w:val="16"/>
                <w:lang w:val="en-GB" w:eastAsia="en-GB"/>
              </w:rPr>
            </w:pPr>
            <w:r w:rsidRPr="00A42B3C">
              <w:rPr>
                <w:rFonts w:asciiTheme="majorHAnsi" w:hAnsiTheme="majorHAnsi" w:cstheme="majorHAnsi"/>
                <w:color w:val="000000"/>
                <w:sz w:val="14"/>
                <w:szCs w:val="16"/>
                <w:lang w:val="en-GB" w:eastAsia="en-GB"/>
              </w:rPr>
              <w:lastRenderedPageBreak/>
              <w:t>4</w:t>
            </w:r>
          </w:p>
        </w:tc>
        <w:tc>
          <w:tcPr>
            <w:tcW w:w="943" w:type="dxa"/>
            <w:shd w:val="clear" w:color="auto" w:fill="auto"/>
            <w:vAlign w:val="center"/>
          </w:tcPr>
          <w:p w:rsidR="00EA7097" w:rsidRPr="00A42B3C" w:rsidRDefault="00EA7097" w:rsidP="00EA7097">
            <w:pPr>
              <w:jc w:val="both"/>
              <w:rPr>
                <w:rFonts w:asciiTheme="majorHAnsi" w:hAnsiTheme="majorHAnsi" w:cstheme="majorHAnsi"/>
                <w:sz w:val="14"/>
                <w:szCs w:val="16"/>
                <w:lang w:val="en-GB"/>
              </w:rPr>
            </w:pPr>
            <w:r w:rsidRPr="00A42B3C">
              <w:rPr>
                <w:rFonts w:asciiTheme="majorHAnsi" w:hAnsiTheme="majorHAnsi" w:cstheme="majorHAnsi"/>
                <w:b/>
                <w:sz w:val="14"/>
                <w:szCs w:val="16"/>
                <w:lang w:val="en-GB"/>
              </w:rPr>
              <w:t>Liquidity Buffer</w:t>
            </w:r>
            <w:r w:rsidRPr="00A42B3C">
              <w:rPr>
                <w:rFonts w:asciiTheme="majorHAnsi" w:hAnsiTheme="majorHAnsi" w:cstheme="majorHAnsi"/>
                <w:sz w:val="14"/>
                <w:szCs w:val="16"/>
                <w:lang w:val="en-GB"/>
              </w:rPr>
              <w:t xml:space="preserve">                                     Directive: Art. 16, par. 3                 Regulation, Art. 129, par. 1 c    </w:t>
            </w:r>
          </w:p>
        </w:tc>
        <w:tc>
          <w:tcPr>
            <w:tcW w:w="2766" w:type="dxa"/>
            <w:shd w:val="clear" w:color="auto" w:fill="auto"/>
            <w:vAlign w:val="center"/>
          </w:tcPr>
          <w:p w:rsidR="00EA7097" w:rsidRPr="00A42B3C" w:rsidRDefault="00EA7097" w:rsidP="00EA7097">
            <w:pPr>
              <w:jc w:val="both"/>
              <w:rPr>
                <w:rFonts w:asciiTheme="majorHAnsi" w:hAnsiTheme="majorHAnsi" w:cstheme="majorHAnsi"/>
                <w:sz w:val="14"/>
                <w:szCs w:val="16"/>
                <w:lang w:val="en-GB"/>
              </w:rPr>
            </w:pPr>
            <w:r w:rsidRPr="00A42B3C">
              <w:rPr>
                <w:rFonts w:asciiTheme="majorHAnsi" w:hAnsiTheme="majorHAnsi" w:cstheme="majorHAnsi"/>
                <w:b/>
                <w:sz w:val="14"/>
                <w:szCs w:val="16"/>
                <w:lang w:val="en-GB"/>
              </w:rPr>
              <w:t>Directive, Art. 16, par 3.</w:t>
            </w:r>
            <w:r w:rsidRPr="00A42B3C">
              <w:rPr>
                <w:rFonts w:asciiTheme="majorHAnsi" w:hAnsiTheme="majorHAnsi" w:cstheme="majorHAnsi"/>
                <w:sz w:val="14"/>
                <w:szCs w:val="16"/>
                <w:lang w:val="en-GB"/>
              </w:rPr>
              <w:t xml:space="preserve"> "Member States shall ensure that the cover pool liquidity buffer referred to in paragraph 1 consists of the following types of assets: (a) assets qualifying as level 1, level 2A and level 2B assets pursuant to Articles 10, 11 and 12 of Delegated Regulation (EU) 2015/61, valuated in accordance with Article 9 of that Delegated Regulation and segregated in accordance with Article 12 of this Directive; (b) exposures to institutions as specified in Article 129(1)(c) of Regulation (EU) No 575/2013."</w:t>
            </w:r>
          </w:p>
        </w:tc>
        <w:tc>
          <w:tcPr>
            <w:tcW w:w="2410" w:type="dxa"/>
            <w:shd w:val="clear" w:color="auto" w:fill="auto"/>
            <w:vAlign w:val="center"/>
          </w:tcPr>
          <w:p w:rsidR="00EA7097" w:rsidRPr="00A42B3C" w:rsidRDefault="00EA7097" w:rsidP="00EA7097">
            <w:pPr>
              <w:jc w:val="both"/>
              <w:rPr>
                <w:rFonts w:asciiTheme="majorHAnsi" w:hAnsiTheme="majorHAnsi" w:cstheme="majorHAnsi"/>
                <w:sz w:val="14"/>
                <w:szCs w:val="16"/>
                <w:lang w:val="en-GB"/>
              </w:rPr>
            </w:pPr>
            <w:r w:rsidRPr="00A42B3C">
              <w:rPr>
                <w:rFonts w:asciiTheme="majorHAnsi" w:hAnsiTheme="majorHAnsi" w:cstheme="majorHAnsi"/>
                <w:sz w:val="14"/>
                <w:szCs w:val="16"/>
                <w:lang w:val="en-GB"/>
              </w:rPr>
              <w:t>Liquidity buffers cover the net liquidity outflows of the covered bond programme over the next 180 days. Eligible liquid assets are Level 1, 2A assets and Level 2B as well as exposures to credit institutions qualifying “Step 1” or "Step 2".</w:t>
            </w:r>
          </w:p>
        </w:tc>
        <w:tc>
          <w:tcPr>
            <w:tcW w:w="3544" w:type="dxa"/>
            <w:shd w:val="clear" w:color="auto" w:fill="auto"/>
            <w:vAlign w:val="center"/>
          </w:tcPr>
          <w:p w:rsidR="00EA7097" w:rsidRPr="00A42B3C" w:rsidRDefault="00EA7097" w:rsidP="00EA7097">
            <w:pPr>
              <w:autoSpaceDE w:val="0"/>
              <w:autoSpaceDN w:val="0"/>
              <w:adjustRightInd w:val="0"/>
              <w:jc w:val="both"/>
              <w:rPr>
                <w:rFonts w:asciiTheme="majorHAnsi" w:hAnsiTheme="majorHAnsi" w:cstheme="majorHAnsi"/>
                <w:sz w:val="14"/>
                <w:szCs w:val="16"/>
                <w:lang w:val="en-GB"/>
              </w:rPr>
            </w:pPr>
            <w:r w:rsidRPr="00A42B3C">
              <w:rPr>
                <w:rFonts w:asciiTheme="majorHAnsi" w:hAnsiTheme="majorHAnsi" w:cstheme="majorHAnsi"/>
                <w:sz w:val="14"/>
                <w:szCs w:val="16"/>
                <w:lang w:val="en-GB"/>
              </w:rPr>
              <w:t>It is necessary to allow exposures to credit institutions qualified also for the credit quality "Step 3" -  to be eligible for liquidity buffer purposes. Limiting eligible counterparties to those with credit quality “Step 1” and “Step 2” restricts the market to a very limited number of eligible counterparties for many issuing banks, increasing the all-in cost of the programmes. Moreover, it is necessary to clarify that the liquidity buffer is not required in relation to “soft bullet” or “conditional pass through” structures, according to art. 16, par 5.                                                                                                                                         We assume that liquidity segregated by provision of law in accordance with art. 12 of the Directive can also be eligible for liquidity buffer purposes. The credit quality of the counterparty is irrelevant for risk protection's purposes; in fact, the priority claim of the covered bond investor is ensured in the event of the issuer’s insolvency or resolution.</w:t>
            </w:r>
          </w:p>
        </w:tc>
        <w:tc>
          <w:tcPr>
            <w:tcW w:w="992" w:type="dxa"/>
            <w:shd w:val="clear" w:color="auto" w:fill="auto"/>
            <w:vAlign w:val="center"/>
          </w:tcPr>
          <w:p w:rsidR="00EA7097" w:rsidRPr="00A42B3C" w:rsidRDefault="00EA7097" w:rsidP="00EA7097">
            <w:pPr>
              <w:jc w:val="both"/>
              <w:rPr>
                <w:rFonts w:asciiTheme="majorHAnsi" w:hAnsiTheme="majorHAnsi" w:cstheme="majorHAnsi"/>
                <w:sz w:val="14"/>
                <w:szCs w:val="16"/>
                <w:lang w:val="en-GB"/>
              </w:rPr>
            </w:pPr>
            <w:r w:rsidRPr="00A42B3C">
              <w:rPr>
                <w:rFonts w:asciiTheme="majorHAnsi" w:hAnsiTheme="majorHAnsi" w:cstheme="majorHAnsi"/>
                <w:sz w:val="14"/>
                <w:szCs w:val="16"/>
                <w:lang w:val="en-GB"/>
              </w:rPr>
              <w:t>High</w:t>
            </w:r>
          </w:p>
        </w:tc>
        <w:tc>
          <w:tcPr>
            <w:tcW w:w="1843" w:type="dxa"/>
            <w:shd w:val="clear" w:color="auto" w:fill="auto"/>
            <w:vAlign w:val="center"/>
          </w:tcPr>
          <w:p w:rsidR="00EA7097" w:rsidRPr="00A42B3C" w:rsidRDefault="00EA7097" w:rsidP="00EA7097">
            <w:pPr>
              <w:jc w:val="both"/>
              <w:rPr>
                <w:rFonts w:asciiTheme="majorHAnsi" w:hAnsiTheme="majorHAnsi" w:cstheme="majorHAnsi"/>
                <w:b/>
                <w:sz w:val="14"/>
                <w:szCs w:val="16"/>
                <w:lang w:val="en-GB"/>
              </w:rPr>
            </w:pPr>
            <w:r w:rsidRPr="00A42B3C">
              <w:rPr>
                <w:rFonts w:asciiTheme="majorHAnsi" w:hAnsiTheme="majorHAnsi" w:cstheme="majorHAnsi"/>
                <w:b/>
                <w:sz w:val="14"/>
                <w:szCs w:val="16"/>
                <w:lang w:val="en-GB"/>
              </w:rPr>
              <w:t xml:space="preserve">Regulation, Art. 129, 1 c:  </w:t>
            </w:r>
            <w:r w:rsidRPr="00A42B3C">
              <w:rPr>
                <w:rFonts w:asciiTheme="majorHAnsi" w:hAnsiTheme="majorHAnsi" w:cstheme="majorHAnsi"/>
                <w:sz w:val="14"/>
                <w:szCs w:val="16"/>
                <w:lang w:val="en-GB"/>
              </w:rPr>
              <w:t xml:space="preserve">" exposures to credit institutions that qualify for the credit quality step 1 or credit quality step 2 </w:t>
            </w:r>
            <w:r w:rsidRPr="00A42B3C">
              <w:rPr>
                <w:rFonts w:asciiTheme="majorHAnsi" w:hAnsiTheme="majorHAnsi" w:cstheme="majorHAnsi"/>
                <w:b/>
                <w:sz w:val="14"/>
                <w:szCs w:val="16"/>
                <w:lang w:val="en-GB"/>
              </w:rPr>
              <w:t>or credit quality step 3</w:t>
            </w:r>
            <w:r w:rsidRPr="00A42B3C">
              <w:rPr>
                <w:rFonts w:asciiTheme="majorHAnsi" w:hAnsiTheme="majorHAnsi" w:cstheme="majorHAnsi"/>
                <w:sz w:val="14"/>
                <w:szCs w:val="16"/>
                <w:lang w:val="en-GB"/>
              </w:rPr>
              <w:t xml:space="preserve"> as set out in this Chapter”.</w:t>
            </w:r>
          </w:p>
        </w:tc>
        <w:tc>
          <w:tcPr>
            <w:tcW w:w="708" w:type="dxa"/>
          </w:tcPr>
          <w:p w:rsidR="00EA7097" w:rsidRPr="00A42B3C" w:rsidRDefault="00EA7097" w:rsidP="00EA7097">
            <w:pPr>
              <w:jc w:val="both"/>
              <w:rPr>
                <w:rFonts w:asciiTheme="majorHAnsi" w:hAnsiTheme="majorHAnsi" w:cstheme="majorHAnsi"/>
                <w:sz w:val="14"/>
                <w:szCs w:val="16"/>
                <w:lang w:val="en-GB"/>
              </w:rPr>
            </w:pPr>
            <w:r w:rsidRPr="00A42B3C">
              <w:rPr>
                <w:rFonts w:asciiTheme="majorHAnsi" w:hAnsiTheme="majorHAnsi" w:cstheme="majorHAnsi"/>
                <w:sz w:val="14"/>
                <w:szCs w:val="16"/>
                <w:lang w:val="en-GB"/>
              </w:rPr>
              <w:t>EU</w:t>
            </w:r>
          </w:p>
        </w:tc>
      </w:tr>
    </w:tbl>
    <w:p w:rsidR="00462474" w:rsidRPr="00A42B3C" w:rsidRDefault="00462474">
      <w:pPr>
        <w:rPr>
          <w:rFonts w:asciiTheme="majorHAnsi" w:hAnsiTheme="majorHAnsi" w:cstheme="majorHAnsi"/>
          <w:i/>
          <w:sz w:val="20"/>
          <w:szCs w:val="18"/>
          <w:lang w:val="en-GB"/>
        </w:rPr>
      </w:pPr>
    </w:p>
    <w:p w:rsidR="004871E1" w:rsidRPr="00A42B3C" w:rsidRDefault="00683AD7">
      <w:pPr>
        <w:rPr>
          <w:rFonts w:asciiTheme="majorHAnsi" w:hAnsiTheme="majorHAnsi" w:cstheme="majorHAnsi"/>
          <w:i/>
          <w:sz w:val="20"/>
          <w:szCs w:val="18"/>
          <w:lang w:val="en-GB"/>
        </w:rPr>
      </w:pPr>
      <w:r w:rsidRPr="00A42B3C">
        <w:rPr>
          <w:rFonts w:asciiTheme="majorHAnsi" w:hAnsiTheme="majorHAnsi" w:cstheme="majorHAnsi"/>
          <w:i/>
          <w:sz w:val="20"/>
          <w:szCs w:val="18"/>
          <w:lang w:val="en-GB"/>
        </w:rPr>
        <w:t>Source: ABI</w:t>
      </w:r>
    </w:p>
    <w:p w:rsidR="00A96686" w:rsidRPr="00A42B3C" w:rsidRDefault="00A96686">
      <w:pPr>
        <w:rPr>
          <w:rFonts w:asciiTheme="majorHAnsi" w:hAnsiTheme="majorHAnsi" w:cstheme="majorHAnsi"/>
          <w:i/>
          <w:color w:val="DE8400"/>
          <w:sz w:val="18"/>
          <w:szCs w:val="18"/>
          <w:lang w:val="en-GB"/>
        </w:rPr>
      </w:pPr>
    </w:p>
    <w:p w:rsidR="00A96686" w:rsidRPr="00A42B3C" w:rsidRDefault="00A96686">
      <w:pPr>
        <w:rPr>
          <w:rFonts w:asciiTheme="majorHAnsi" w:hAnsiTheme="majorHAnsi" w:cstheme="majorHAnsi"/>
          <w:i/>
          <w:color w:val="DE8400"/>
          <w:sz w:val="18"/>
          <w:szCs w:val="18"/>
          <w:lang w:val="en-GB"/>
        </w:rPr>
      </w:pPr>
    </w:p>
    <w:p w:rsidR="00D263AC" w:rsidRPr="00A42B3C" w:rsidRDefault="00D263AC" w:rsidP="00462474">
      <w:pPr>
        <w:pStyle w:val="Heading1"/>
      </w:pPr>
      <w:bookmarkStart w:id="15" w:name="_Ireland_–_TBC"/>
      <w:bookmarkEnd w:id="15"/>
      <w:r w:rsidRPr="00A42B3C">
        <w:br w:type="column"/>
      </w:r>
      <w:bookmarkStart w:id="16" w:name="_Luxembourg"/>
      <w:bookmarkEnd w:id="16"/>
      <w:r w:rsidR="005F0149" w:rsidRPr="00A42B3C">
        <w:lastRenderedPageBreak/>
        <w:t>Luxembourg</w:t>
      </w:r>
    </w:p>
    <w:tbl>
      <w:tblPr>
        <w:tblpPr w:leftFromText="180" w:rightFromText="180" w:vertAnchor="text" w:horzAnchor="margin" w:tblpX="-998" w:tblpY="80"/>
        <w:tblW w:w="15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50"/>
        <w:gridCol w:w="3686"/>
        <w:gridCol w:w="1559"/>
        <w:gridCol w:w="2552"/>
        <w:gridCol w:w="850"/>
        <w:gridCol w:w="4825"/>
        <w:gridCol w:w="709"/>
      </w:tblGrid>
      <w:tr w:rsidR="00250941" w:rsidRPr="00A42B3C" w:rsidTr="00551893">
        <w:trPr>
          <w:trHeight w:val="475"/>
        </w:trPr>
        <w:tc>
          <w:tcPr>
            <w:tcW w:w="846" w:type="dxa"/>
            <w:shd w:val="clear" w:color="auto" w:fill="DE821B"/>
          </w:tcPr>
          <w:p w:rsidR="00683AD7" w:rsidRPr="00A42B3C" w:rsidRDefault="00683AD7" w:rsidP="00250941">
            <w:pPr>
              <w:jc w:val="center"/>
              <w:rPr>
                <w:rFonts w:asciiTheme="majorHAnsi" w:eastAsia="Times New Roman" w:hAnsiTheme="majorHAnsi" w:cstheme="majorHAnsi"/>
                <w:b/>
                <w:color w:val="FFFFFF" w:themeColor="background1"/>
                <w:sz w:val="14"/>
                <w:szCs w:val="16"/>
                <w:lang w:val="en-GB" w:eastAsia="en-GB"/>
              </w:rPr>
            </w:pPr>
            <w:r w:rsidRPr="00A42B3C">
              <w:rPr>
                <w:rFonts w:asciiTheme="majorHAnsi" w:eastAsia="Times New Roman" w:hAnsiTheme="majorHAnsi" w:cstheme="majorHAnsi"/>
                <w:b/>
                <w:color w:val="FFFFFF" w:themeColor="background1"/>
                <w:sz w:val="14"/>
                <w:szCs w:val="16"/>
                <w:lang w:val="en-GB" w:eastAsia="en-GB"/>
              </w:rPr>
              <w:t>Ranking of priority</w:t>
            </w:r>
          </w:p>
        </w:tc>
        <w:tc>
          <w:tcPr>
            <w:tcW w:w="850" w:type="dxa"/>
            <w:shd w:val="clear" w:color="auto" w:fill="DE821B"/>
            <w:vAlign w:val="center"/>
            <w:hideMark/>
          </w:tcPr>
          <w:p w:rsidR="00683AD7" w:rsidRPr="00A42B3C" w:rsidRDefault="00683AD7" w:rsidP="00250941">
            <w:pPr>
              <w:jc w:val="center"/>
              <w:rPr>
                <w:rFonts w:asciiTheme="majorHAnsi" w:eastAsia="Times New Roman" w:hAnsiTheme="majorHAnsi" w:cstheme="majorHAnsi"/>
                <w:b/>
                <w:color w:val="FFFFFF" w:themeColor="background1"/>
                <w:sz w:val="14"/>
                <w:szCs w:val="16"/>
                <w:lang w:val="en-GB" w:eastAsia="en-GB"/>
              </w:rPr>
            </w:pPr>
            <w:r w:rsidRPr="00A42B3C">
              <w:rPr>
                <w:rFonts w:asciiTheme="majorHAnsi" w:eastAsia="Times New Roman" w:hAnsiTheme="majorHAnsi" w:cstheme="majorHAnsi"/>
                <w:b/>
                <w:color w:val="FFFFFF" w:themeColor="background1"/>
                <w:sz w:val="14"/>
                <w:szCs w:val="16"/>
                <w:lang w:val="en-GB" w:eastAsia="en-GB"/>
              </w:rPr>
              <w:t>Location</w:t>
            </w:r>
          </w:p>
        </w:tc>
        <w:tc>
          <w:tcPr>
            <w:tcW w:w="3686" w:type="dxa"/>
            <w:shd w:val="clear" w:color="auto" w:fill="DE821B"/>
            <w:vAlign w:val="center"/>
            <w:hideMark/>
          </w:tcPr>
          <w:p w:rsidR="00683AD7" w:rsidRPr="00A42B3C" w:rsidRDefault="00683AD7" w:rsidP="00250941">
            <w:pPr>
              <w:jc w:val="center"/>
              <w:rPr>
                <w:rFonts w:asciiTheme="majorHAnsi" w:eastAsia="Times New Roman" w:hAnsiTheme="majorHAnsi" w:cstheme="majorHAnsi"/>
                <w:b/>
                <w:color w:val="FFFFFF" w:themeColor="background1"/>
                <w:sz w:val="14"/>
                <w:szCs w:val="16"/>
                <w:lang w:val="en-GB" w:eastAsia="en-GB"/>
              </w:rPr>
            </w:pPr>
            <w:r w:rsidRPr="00A42B3C">
              <w:rPr>
                <w:rFonts w:asciiTheme="majorHAnsi" w:eastAsia="Times New Roman" w:hAnsiTheme="majorHAnsi" w:cstheme="majorHAnsi"/>
                <w:b/>
                <w:color w:val="FFFFFF" w:themeColor="background1"/>
                <w:sz w:val="14"/>
                <w:szCs w:val="16"/>
                <w:lang w:val="en-GB" w:eastAsia="en-GB"/>
              </w:rPr>
              <w:t>Precise passage concerned</w:t>
            </w:r>
          </w:p>
        </w:tc>
        <w:tc>
          <w:tcPr>
            <w:tcW w:w="1559" w:type="dxa"/>
            <w:shd w:val="clear" w:color="auto" w:fill="DE821B"/>
            <w:vAlign w:val="center"/>
            <w:hideMark/>
          </w:tcPr>
          <w:p w:rsidR="00683AD7" w:rsidRPr="00A42B3C" w:rsidRDefault="00683AD7" w:rsidP="00250941">
            <w:pPr>
              <w:jc w:val="center"/>
              <w:rPr>
                <w:rFonts w:asciiTheme="majorHAnsi" w:eastAsia="Times New Roman" w:hAnsiTheme="majorHAnsi" w:cstheme="majorHAnsi"/>
                <w:b/>
                <w:color w:val="FFFFFF" w:themeColor="background1"/>
                <w:sz w:val="14"/>
                <w:szCs w:val="16"/>
                <w:lang w:val="en-GB" w:eastAsia="en-GB"/>
              </w:rPr>
            </w:pPr>
            <w:r w:rsidRPr="00A42B3C">
              <w:rPr>
                <w:rFonts w:asciiTheme="majorHAnsi" w:eastAsia="Times New Roman" w:hAnsiTheme="majorHAnsi" w:cstheme="majorHAnsi"/>
                <w:b/>
                <w:color w:val="FFFFFF" w:themeColor="background1"/>
                <w:sz w:val="14"/>
                <w:szCs w:val="16"/>
                <w:lang w:val="en-GB" w:eastAsia="en-GB"/>
              </w:rPr>
              <w:t>Description of the Issue</w:t>
            </w:r>
          </w:p>
        </w:tc>
        <w:tc>
          <w:tcPr>
            <w:tcW w:w="2552" w:type="dxa"/>
            <w:shd w:val="clear" w:color="auto" w:fill="DE821B"/>
            <w:vAlign w:val="center"/>
            <w:hideMark/>
          </w:tcPr>
          <w:p w:rsidR="00683AD7" w:rsidRPr="00A42B3C" w:rsidRDefault="00683AD7" w:rsidP="00250941">
            <w:pPr>
              <w:jc w:val="center"/>
              <w:rPr>
                <w:rFonts w:asciiTheme="majorHAnsi" w:eastAsia="Times New Roman" w:hAnsiTheme="majorHAnsi" w:cstheme="majorHAnsi"/>
                <w:b/>
                <w:color w:val="FFFFFF" w:themeColor="background1"/>
                <w:sz w:val="14"/>
                <w:szCs w:val="16"/>
                <w:lang w:val="en-GB" w:eastAsia="en-GB"/>
              </w:rPr>
            </w:pPr>
            <w:r w:rsidRPr="00A42B3C">
              <w:rPr>
                <w:rFonts w:asciiTheme="majorHAnsi" w:eastAsia="Times New Roman" w:hAnsiTheme="majorHAnsi" w:cstheme="majorHAnsi"/>
                <w:b/>
                <w:color w:val="FFFFFF" w:themeColor="background1"/>
                <w:sz w:val="14"/>
                <w:szCs w:val="16"/>
                <w:lang w:val="en-GB" w:eastAsia="en-GB"/>
              </w:rPr>
              <w:t>Justification for potential amendment</w:t>
            </w:r>
          </w:p>
        </w:tc>
        <w:tc>
          <w:tcPr>
            <w:tcW w:w="850" w:type="dxa"/>
            <w:shd w:val="clear" w:color="auto" w:fill="DE821B"/>
            <w:vAlign w:val="center"/>
            <w:hideMark/>
          </w:tcPr>
          <w:p w:rsidR="00683AD7" w:rsidRPr="00A42B3C" w:rsidRDefault="00683AD7" w:rsidP="00250941">
            <w:pPr>
              <w:jc w:val="center"/>
              <w:rPr>
                <w:rFonts w:asciiTheme="majorHAnsi" w:eastAsia="Times New Roman" w:hAnsiTheme="majorHAnsi" w:cstheme="majorHAnsi"/>
                <w:b/>
                <w:color w:val="FFFFFF" w:themeColor="background1"/>
                <w:sz w:val="14"/>
                <w:szCs w:val="16"/>
                <w:lang w:val="en-GB" w:eastAsia="en-GB"/>
              </w:rPr>
            </w:pPr>
            <w:r w:rsidRPr="00A42B3C">
              <w:rPr>
                <w:rFonts w:asciiTheme="majorHAnsi" w:eastAsia="Times New Roman" w:hAnsiTheme="majorHAnsi" w:cstheme="majorHAnsi"/>
                <w:b/>
                <w:color w:val="FFFFFF" w:themeColor="background1"/>
                <w:sz w:val="14"/>
                <w:szCs w:val="16"/>
                <w:lang w:val="en-GB" w:eastAsia="en-GB"/>
              </w:rPr>
              <w:t>Level of seriousness</w:t>
            </w:r>
          </w:p>
        </w:tc>
        <w:tc>
          <w:tcPr>
            <w:tcW w:w="4825" w:type="dxa"/>
            <w:shd w:val="clear" w:color="auto" w:fill="DE821B"/>
            <w:vAlign w:val="center"/>
            <w:hideMark/>
          </w:tcPr>
          <w:p w:rsidR="00683AD7" w:rsidRPr="00A42B3C" w:rsidRDefault="00683AD7" w:rsidP="00250941">
            <w:pPr>
              <w:jc w:val="center"/>
              <w:rPr>
                <w:rFonts w:asciiTheme="majorHAnsi" w:eastAsia="Times New Roman" w:hAnsiTheme="majorHAnsi" w:cstheme="majorHAnsi"/>
                <w:b/>
                <w:color w:val="FFFFFF" w:themeColor="background1"/>
                <w:sz w:val="14"/>
                <w:szCs w:val="16"/>
                <w:lang w:val="en-GB" w:eastAsia="en-GB"/>
              </w:rPr>
            </w:pPr>
            <w:r w:rsidRPr="00A42B3C">
              <w:rPr>
                <w:rFonts w:asciiTheme="majorHAnsi" w:eastAsia="Times New Roman" w:hAnsiTheme="majorHAnsi" w:cstheme="majorHAnsi"/>
                <w:b/>
                <w:color w:val="FFFFFF" w:themeColor="background1"/>
                <w:sz w:val="14"/>
                <w:szCs w:val="16"/>
                <w:lang w:val="en-GB" w:eastAsia="en-GB"/>
              </w:rPr>
              <w:t>Proposal for a wording update</w:t>
            </w:r>
          </w:p>
        </w:tc>
        <w:tc>
          <w:tcPr>
            <w:tcW w:w="709" w:type="dxa"/>
            <w:shd w:val="clear" w:color="auto" w:fill="DE821B"/>
            <w:vAlign w:val="center"/>
          </w:tcPr>
          <w:p w:rsidR="00683AD7" w:rsidRPr="00A42B3C" w:rsidRDefault="00683AD7" w:rsidP="00250941">
            <w:pPr>
              <w:jc w:val="center"/>
              <w:rPr>
                <w:rFonts w:asciiTheme="majorHAnsi" w:eastAsia="Times New Roman" w:hAnsiTheme="majorHAnsi" w:cstheme="majorHAnsi"/>
                <w:b/>
                <w:color w:val="FFFFFF" w:themeColor="background1"/>
                <w:sz w:val="14"/>
                <w:szCs w:val="16"/>
                <w:lang w:val="en-GB" w:eastAsia="en-GB"/>
              </w:rPr>
            </w:pPr>
            <w:r w:rsidRPr="00A42B3C">
              <w:rPr>
                <w:rFonts w:asciiTheme="majorHAnsi" w:eastAsia="Times New Roman" w:hAnsiTheme="majorHAnsi" w:cstheme="majorHAnsi"/>
                <w:b/>
                <w:color w:val="FFFFFF" w:themeColor="background1"/>
                <w:sz w:val="14"/>
                <w:szCs w:val="16"/>
                <w:lang w:val="en-GB" w:eastAsia="en-GB"/>
              </w:rPr>
              <w:t>Scope</w:t>
            </w:r>
          </w:p>
        </w:tc>
      </w:tr>
      <w:tr w:rsidR="00250941" w:rsidRPr="00A42B3C" w:rsidTr="000B7E74">
        <w:trPr>
          <w:trHeight w:val="4711"/>
        </w:trPr>
        <w:tc>
          <w:tcPr>
            <w:tcW w:w="846" w:type="dxa"/>
            <w:vAlign w:val="center"/>
          </w:tcPr>
          <w:p w:rsidR="00683AD7" w:rsidRPr="00A42B3C" w:rsidRDefault="00683AD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1</w:t>
            </w:r>
          </w:p>
        </w:tc>
        <w:tc>
          <w:tcPr>
            <w:tcW w:w="850" w:type="dxa"/>
            <w:shd w:val="clear" w:color="auto" w:fill="auto"/>
            <w:vAlign w:val="center"/>
          </w:tcPr>
          <w:p w:rsidR="00683AD7" w:rsidRPr="00A42B3C" w:rsidRDefault="00683AD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Recital 15</w:t>
            </w:r>
          </w:p>
        </w:tc>
        <w:tc>
          <w:tcPr>
            <w:tcW w:w="3686" w:type="dxa"/>
            <w:shd w:val="clear" w:color="auto" w:fill="auto"/>
            <w:vAlign w:val="center"/>
          </w:tcPr>
          <w:p w:rsidR="00683AD7" w:rsidRPr="00A42B3C" w:rsidRDefault="00683AD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(15) Another core feature of existing national covered bond frameworks is the fact that assets serving as collateral should be of very high quality in order to ensure the robustness of the cover pool. High quality assets are characterised by having specific features making them eligible to cover the claims attached to the covered bond. It is therefore appropriate to set out the general quality features that assets should respect in order to be eligible to serve as collateral. Assets listed in points (a) to (g) of Article 129(1) of Regulation (EU) No 575/2013 should be considered eligible to serve as collateral in the cover pool, within a covered bond framework, as should loans involving public undertakings as defined in Article 2(b) of Commission Directive 2006/111/EC but also other assets of a similar high quality could be considered eligible under the Directive, provided that it is possible to determine either their market value or mortgage lending value. Furthermore, the Directive should include rules to ensure that assets, including guaranteed loans, can be repossessed or called in through an enforceable protection agreement, whether in the form of a traditional mortgage or by a charge, lien or guarantee providing the same level of legal protection, and thus ensuring the same level of safety for investors. However, those provisions on the eligibility of assets should not prevent Member States from allowing other categories of assets to serve as collateral in their national frameworks provided the assets comply with Union law. Member States should also be free to exclude assets in their national frameworks.</w:t>
            </w:r>
          </w:p>
        </w:tc>
        <w:tc>
          <w:tcPr>
            <w:tcW w:w="1559" w:type="dxa"/>
            <w:shd w:val="clear" w:color="auto" w:fill="auto"/>
            <w:vAlign w:val="center"/>
          </w:tcPr>
          <w:p w:rsidR="00683AD7" w:rsidRPr="00A42B3C" w:rsidRDefault="00683AD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 xml:space="preserve">Public undertakings as defined in Article 2(b) of Commission Directive 2006/111/EC should be considered eligible as cover assets </w:t>
            </w:r>
            <w:r w:rsidR="00DD7D35" w:rsidRPr="00A42B3C">
              <w:rPr>
                <w:rFonts w:asciiTheme="majorHAnsi" w:eastAsia="Times New Roman" w:hAnsiTheme="majorHAnsi" w:cstheme="majorHAnsi"/>
                <w:color w:val="000000"/>
                <w:sz w:val="14"/>
                <w:szCs w:val="16"/>
                <w:lang w:val="en-GB" w:eastAsia="en-GB"/>
              </w:rPr>
              <w:t>similar</w:t>
            </w:r>
            <w:r w:rsidRPr="00A42B3C">
              <w:rPr>
                <w:rFonts w:asciiTheme="majorHAnsi" w:eastAsia="Times New Roman" w:hAnsiTheme="majorHAnsi" w:cstheme="majorHAnsi"/>
                <w:color w:val="000000"/>
                <w:sz w:val="14"/>
                <w:szCs w:val="16"/>
                <w:lang w:val="en-GB" w:eastAsia="en-GB"/>
              </w:rPr>
              <w:t xml:space="preserve"> to assets listed in points (a) to (g) of Article 129(1) of Regulation (EU) No 575/2013.</w:t>
            </w:r>
          </w:p>
        </w:tc>
        <w:tc>
          <w:tcPr>
            <w:tcW w:w="2552" w:type="dxa"/>
            <w:shd w:val="clear" w:color="auto" w:fill="auto"/>
            <w:vAlign w:val="center"/>
          </w:tcPr>
          <w:p w:rsidR="00683AD7" w:rsidRPr="00A42B3C" w:rsidRDefault="00683AD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 xml:space="preserve">Public undertakings as defined in Article 2(b) of Commission Directive 2006/111/EC are of </w:t>
            </w:r>
            <w:r w:rsidR="00DD7D35" w:rsidRPr="00A42B3C">
              <w:rPr>
                <w:rFonts w:asciiTheme="majorHAnsi" w:eastAsia="Times New Roman" w:hAnsiTheme="majorHAnsi" w:cstheme="majorHAnsi"/>
                <w:color w:val="000000"/>
                <w:sz w:val="14"/>
                <w:szCs w:val="16"/>
                <w:lang w:val="en-GB" w:eastAsia="en-GB"/>
              </w:rPr>
              <w:t>similar</w:t>
            </w:r>
            <w:r w:rsidRPr="00A42B3C">
              <w:rPr>
                <w:rFonts w:asciiTheme="majorHAnsi" w:eastAsia="Times New Roman" w:hAnsiTheme="majorHAnsi" w:cstheme="majorHAnsi"/>
                <w:color w:val="000000"/>
                <w:sz w:val="14"/>
                <w:szCs w:val="16"/>
                <w:lang w:val="en-GB" w:eastAsia="en-GB"/>
              </w:rPr>
              <w:t xml:space="preserve"> high quality as those listed in points (a) to (g) of Article 129(1) of Regulation (EU) No 575/2013 due to the direct or indirect</w:t>
            </w:r>
          </w:p>
          <w:p w:rsidR="00683AD7" w:rsidRPr="00A42B3C" w:rsidRDefault="00683AD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 xml:space="preserve">dominant influence by virtue of the public </w:t>
            </w:r>
            <w:r w:rsidR="00DD7D35" w:rsidRPr="00A42B3C">
              <w:rPr>
                <w:rFonts w:asciiTheme="majorHAnsi" w:eastAsia="Times New Roman" w:hAnsiTheme="majorHAnsi" w:cstheme="majorHAnsi"/>
                <w:color w:val="000000"/>
                <w:sz w:val="14"/>
                <w:szCs w:val="16"/>
                <w:lang w:val="en-GB" w:eastAsia="en-GB"/>
              </w:rPr>
              <w:t>authorities’</w:t>
            </w:r>
            <w:r w:rsidRPr="00A42B3C">
              <w:rPr>
                <w:rFonts w:asciiTheme="majorHAnsi" w:eastAsia="Times New Roman" w:hAnsiTheme="majorHAnsi" w:cstheme="majorHAnsi"/>
                <w:color w:val="000000"/>
                <w:sz w:val="14"/>
                <w:szCs w:val="16"/>
                <w:lang w:val="en-GB" w:eastAsia="en-GB"/>
              </w:rPr>
              <w:t xml:space="preserve"> ownership,</w:t>
            </w:r>
          </w:p>
          <w:p w:rsidR="00683AD7" w:rsidRPr="00A42B3C" w:rsidRDefault="00683AD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their financial participation therein, or the rules which</w:t>
            </w:r>
          </w:p>
          <w:p w:rsidR="00683AD7" w:rsidRPr="00A42B3C" w:rsidRDefault="00683AD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 xml:space="preserve">govern it. Paragraph 1 states that if the cover assets are eligible under Article 129 of the CRR or resulting from loans to public undertakings, none on the requirements in paragraphs 2 and 3 need to be met. These requirements only need to be met for other </w:t>
            </w:r>
            <w:r w:rsidR="00DD7D35" w:rsidRPr="00A42B3C">
              <w:rPr>
                <w:rFonts w:asciiTheme="majorHAnsi" w:eastAsia="Times New Roman" w:hAnsiTheme="majorHAnsi" w:cstheme="majorHAnsi"/>
                <w:color w:val="000000"/>
                <w:sz w:val="14"/>
                <w:szCs w:val="16"/>
                <w:lang w:val="en-GB" w:eastAsia="en-GB"/>
              </w:rPr>
              <w:t>high-quality</w:t>
            </w:r>
            <w:r w:rsidRPr="00A42B3C">
              <w:rPr>
                <w:rFonts w:asciiTheme="majorHAnsi" w:eastAsia="Times New Roman" w:hAnsiTheme="majorHAnsi" w:cstheme="majorHAnsi"/>
                <w:color w:val="000000"/>
                <w:sz w:val="14"/>
                <w:szCs w:val="16"/>
                <w:lang w:val="en-GB" w:eastAsia="en-GB"/>
              </w:rPr>
              <w:t xml:space="preserve"> cover assets.</w:t>
            </w:r>
          </w:p>
        </w:tc>
        <w:tc>
          <w:tcPr>
            <w:tcW w:w="850" w:type="dxa"/>
            <w:shd w:val="clear" w:color="auto" w:fill="auto"/>
            <w:vAlign w:val="center"/>
          </w:tcPr>
          <w:p w:rsidR="00683AD7" w:rsidRPr="00A42B3C" w:rsidRDefault="00683AD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High</w:t>
            </w:r>
          </w:p>
        </w:tc>
        <w:tc>
          <w:tcPr>
            <w:tcW w:w="4825" w:type="dxa"/>
            <w:shd w:val="clear" w:color="auto" w:fill="auto"/>
            <w:vAlign w:val="center"/>
          </w:tcPr>
          <w:p w:rsidR="00683AD7" w:rsidRPr="00A42B3C" w:rsidRDefault="00683AD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(15) Another core feature of existing national covered bond frameworks is the fact that assets</w:t>
            </w:r>
          </w:p>
          <w:p w:rsidR="00683AD7" w:rsidRPr="00A42B3C" w:rsidRDefault="00683AD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serving as collateral should be of very high quality in order to ensure the robustness of the cover</w:t>
            </w:r>
          </w:p>
          <w:p w:rsidR="00683AD7" w:rsidRPr="00A42B3C" w:rsidRDefault="00683AD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pool. High quality assets are characterised by having specific features relating to the claim being</w:t>
            </w:r>
          </w:p>
          <w:p w:rsidR="00683AD7" w:rsidRPr="00A42B3C" w:rsidRDefault="00683AD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secured and the collateral asset backing them. It is therefore appropriate to set out the general quality features that assets should</w:t>
            </w:r>
          </w:p>
          <w:p w:rsidR="00683AD7" w:rsidRPr="00A42B3C" w:rsidRDefault="00683AD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respect in order to be eligible to serve as collateral. Assets listed in points (a) to (g) of Article 129(1)</w:t>
            </w:r>
          </w:p>
          <w:p w:rsidR="00683AD7" w:rsidRPr="00A42B3C" w:rsidRDefault="00683AD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of Regulation (EU) No 575/2013 and loans to public</w:t>
            </w:r>
          </w:p>
          <w:p w:rsidR="00683AD7" w:rsidRPr="00A42B3C" w:rsidRDefault="00683AD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undertakings as defined in Article 2(b) of Commission Directive 2006/111/EC should be considered eligible as cover assets, within a covered bond framework. Other</w:t>
            </w:r>
          </w:p>
          <w:p w:rsidR="00683AD7" w:rsidRPr="00A42B3C" w:rsidRDefault="00683AD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cover assets of a similar high quality could also be considered eligible under the Directive, provided</w:t>
            </w:r>
          </w:p>
          <w:p w:rsidR="00683AD7" w:rsidRPr="00A42B3C" w:rsidRDefault="00683AD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that they comply with the legal requirements and the requirements for the collateral backing</w:t>
            </w:r>
          </w:p>
          <w:p w:rsidR="00683AD7" w:rsidRPr="00A42B3C" w:rsidRDefault="00683AD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the claim for payment, reflecting their nature as either physical assets or assets in the form of</w:t>
            </w:r>
          </w:p>
          <w:p w:rsidR="00683AD7" w:rsidRPr="00A42B3C" w:rsidRDefault="00683AD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exposures. Member States</w:t>
            </w:r>
          </w:p>
          <w:p w:rsidR="00683AD7" w:rsidRPr="00A42B3C" w:rsidRDefault="00683AD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should be free to exclude assets in their national frameworks.</w:t>
            </w:r>
          </w:p>
        </w:tc>
        <w:tc>
          <w:tcPr>
            <w:tcW w:w="709" w:type="dxa"/>
          </w:tcPr>
          <w:p w:rsidR="00683AD7" w:rsidRPr="00A42B3C" w:rsidRDefault="00683AD7" w:rsidP="00250941">
            <w:pPr>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national</w:t>
            </w:r>
          </w:p>
        </w:tc>
      </w:tr>
      <w:tr w:rsidR="00250941" w:rsidRPr="00A42B3C" w:rsidTr="00551893">
        <w:trPr>
          <w:trHeight w:val="475"/>
        </w:trPr>
        <w:tc>
          <w:tcPr>
            <w:tcW w:w="846" w:type="dxa"/>
            <w:vMerge w:val="restart"/>
            <w:vAlign w:val="center"/>
          </w:tcPr>
          <w:p w:rsidR="00AE0617" w:rsidRPr="00A42B3C" w:rsidRDefault="00AE061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2</w:t>
            </w:r>
          </w:p>
        </w:tc>
        <w:tc>
          <w:tcPr>
            <w:tcW w:w="850" w:type="dxa"/>
            <w:vMerge w:val="restart"/>
            <w:shd w:val="clear" w:color="auto" w:fill="auto"/>
            <w:vAlign w:val="center"/>
          </w:tcPr>
          <w:p w:rsidR="00AE0617" w:rsidRPr="00A42B3C" w:rsidRDefault="00AE061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Article 6</w:t>
            </w:r>
          </w:p>
        </w:tc>
        <w:tc>
          <w:tcPr>
            <w:tcW w:w="3686" w:type="dxa"/>
            <w:shd w:val="clear" w:color="auto" w:fill="auto"/>
            <w:vAlign w:val="center"/>
          </w:tcPr>
          <w:p w:rsidR="00AE0617" w:rsidRPr="00A42B3C" w:rsidRDefault="00AE061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Eligible assets</w:t>
            </w:r>
          </w:p>
          <w:p w:rsidR="00AE0617" w:rsidRPr="00A42B3C" w:rsidRDefault="00AE0617" w:rsidP="000B7E74">
            <w:pPr>
              <w:jc w:val="both"/>
              <w:rPr>
                <w:rFonts w:asciiTheme="majorHAnsi" w:eastAsia="Times New Roman" w:hAnsiTheme="majorHAnsi" w:cstheme="majorHAnsi"/>
                <w:color w:val="000000"/>
                <w:sz w:val="14"/>
                <w:szCs w:val="16"/>
                <w:lang w:val="en-GB" w:eastAsia="en-GB"/>
              </w:rPr>
            </w:pPr>
          </w:p>
          <w:p w:rsidR="00AE0617" w:rsidRPr="00A42B3C" w:rsidRDefault="00AE0617" w:rsidP="000B7E74">
            <w:pPr>
              <w:jc w:val="both"/>
              <w:rPr>
                <w:rFonts w:asciiTheme="majorHAnsi" w:eastAsia="Times New Roman" w:hAnsiTheme="majorHAnsi" w:cstheme="majorHAnsi"/>
                <w:color w:val="000000"/>
                <w:sz w:val="14"/>
                <w:szCs w:val="16"/>
                <w:lang w:val="en-GB" w:eastAsia="en-GB"/>
              </w:rPr>
            </w:pPr>
          </w:p>
        </w:tc>
        <w:tc>
          <w:tcPr>
            <w:tcW w:w="1559" w:type="dxa"/>
            <w:shd w:val="clear" w:color="auto" w:fill="auto"/>
            <w:vAlign w:val="center"/>
          </w:tcPr>
          <w:p w:rsidR="00AE0617" w:rsidRPr="00A42B3C" w:rsidRDefault="00AE061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Clarification</w:t>
            </w:r>
          </w:p>
          <w:p w:rsidR="00AE0617" w:rsidRPr="00A42B3C" w:rsidRDefault="00AE0617" w:rsidP="000B7E74">
            <w:pPr>
              <w:jc w:val="both"/>
              <w:rPr>
                <w:rFonts w:asciiTheme="majorHAnsi" w:eastAsia="Times New Roman" w:hAnsiTheme="majorHAnsi" w:cstheme="majorHAnsi"/>
                <w:color w:val="000000"/>
                <w:sz w:val="14"/>
                <w:szCs w:val="16"/>
                <w:lang w:val="en-GB" w:eastAsia="en-GB"/>
              </w:rPr>
            </w:pPr>
          </w:p>
          <w:p w:rsidR="00AE0617" w:rsidRPr="00A42B3C" w:rsidRDefault="00AE0617" w:rsidP="000B7E74">
            <w:pPr>
              <w:jc w:val="both"/>
              <w:rPr>
                <w:rFonts w:asciiTheme="majorHAnsi" w:eastAsia="Times New Roman" w:hAnsiTheme="majorHAnsi" w:cstheme="majorHAnsi"/>
                <w:color w:val="000000"/>
                <w:sz w:val="14"/>
                <w:szCs w:val="16"/>
                <w:lang w:val="en-GB" w:eastAsia="en-GB"/>
              </w:rPr>
            </w:pPr>
          </w:p>
        </w:tc>
        <w:tc>
          <w:tcPr>
            <w:tcW w:w="2552" w:type="dxa"/>
            <w:shd w:val="clear" w:color="auto" w:fill="auto"/>
            <w:vAlign w:val="center"/>
          </w:tcPr>
          <w:p w:rsidR="00AE0617" w:rsidRPr="00A42B3C" w:rsidRDefault="00AE061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Avoiding inconsistent use of the word "assets"</w:t>
            </w:r>
          </w:p>
          <w:p w:rsidR="00AE0617" w:rsidRPr="00A42B3C" w:rsidRDefault="00AE0617" w:rsidP="000B7E74">
            <w:pPr>
              <w:jc w:val="both"/>
              <w:rPr>
                <w:rFonts w:asciiTheme="majorHAnsi" w:eastAsia="Times New Roman" w:hAnsiTheme="majorHAnsi" w:cstheme="majorHAnsi"/>
                <w:color w:val="000000"/>
                <w:sz w:val="14"/>
                <w:szCs w:val="16"/>
                <w:lang w:val="en-GB" w:eastAsia="en-GB"/>
              </w:rPr>
            </w:pPr>
          </w:p>
          <w:p w:rsidR="00AE0617" w:rsidRPr="00A42B3C" w:rsidRDefault="00AE0617" w:rsidP="000B7E74">
            <w:pPr>
              <w:jc w:val="both"/>
              <w:rPr>
                <w:rFonts w:asciiTheme="majorHAnsi" w:eastAsia="Times New Roman" w:hAnsiTheme="majorHAnsi" w:cstheme="majorHAnsi"/>
                <w:color w:val="000000"/>
                <w:sz w:val="14"/>
                <w:szCs w:val="16"/>
                <w:lang w:val="en-GB" w:eastAsia="en-GB"/>
              </w:rPr>
            </w:pPr>
          </w:p>
        </w:tc>
        <w:tc>
          <w:tcPr>
            <w:tcW w:w="850" w:type="dxa"/>
            <w:vMerge w:val="restart"/>
            <w:shd w:val="clear" w:color="auto" w:fill="auto"/>
            <w:vAlign w:val="center"/>
          </w:tcPr>
          <w:p w:rsidR="00AE0617" w:rsidRPr="00A42B3C" w:rsidRDefault="00AE061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High</w:t>
            </w:r>
          </w:p>
        </w:tc>
        <w:tc>
          <w:tcPr>
            <w:tcW w:w="4825" w:type="dxa"/>
            <w:shd w:val="clear" w:color="auto" w:fill="auto"/>
            <w:vAlign w:val="center"/>
          </w:tcPr>
          <w:p w:rsidR="00AE0617" w:rsidRPr="00A42B3C" w:rsidRDefault="00AE061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Eligible Cover assets</w:t>
            </w:r>
          </w:p>
          <w:p w:rsidR="00AE0617" w:rsidRPr="00A42B3C" w:rsidRDefault="00AE0617" w:rsidP="000B7E74">
            <w:pPr>
              <w:jc w:val="both"/>
              <w:rPr>
                <w:rFonts w:asciiTheme="majorHAnsi" w:eastAsia="Times New Roman" w:hAnsiTheme="majorHAnsi" w:cstheme="majorHAnsi"/>
                <w:color w:val="000000"/>
                <w:sz w:val="14"/>
                <w:szCs w:val="16"/>
                <w:lang w:val="en-GB" w:eastAsia="en-GB"/>
              </w:rPr>
            </w:pPr>
          </w:p>
          <w:p w:rsidR="00AE0617" w:rsidRPr="00A42B3C" w:rsidRDefault="00AE0617" w:rsidP="000B7E74">
            <w:pPr>
              <w:jc w:val="both"/>
              <w:rPr>
                <w:rFonts w:asciiTheme="majorHAnsi" w:eastAsia="Times New Roman" w:hAnsiTheme="majorHAnsi" w:cstheme="majorHAnsi"/>
                <w:color w:val="000000"/>
                <w:sz w:val="14"/>
                <w:szCs w:val="16"/>
                <w:lang w:val="en-GB" w:eastAsia="en-GB"/>
              </w:rPr>
            </w:pPr>
          </w:p>
        </w:tc>
        <w:tc>
          <w:tcPr>
            <w:tcW w:w="709" w:type="dxa"/>
            <w:vMerge w:val="restart"/>
          </w:tcPr>
          <w:p w:rsidR="00AE0617" w:rsidRPr="00A42B3C" w:rsidRDefault="00AE0617" w:rsidP="00250941">
            <w:pPr>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national</w:t>
            </w:r>
          </w:p>
        </w:tc>
      </w:tr>
      <w:tr w:rsidR="00250941" w:rsidRPr="000261CA" w:rsidTr="00551893">
        <w:trPr>
          <w:trHeight w:val="475"/>
        </w:trPr>
        <w:tc>
          <w:tcPr>
            <w:tcW w:w="846" w:type="dxa"/>
            <w:vMerge/>
            <w:vAlign w:val="center"/>
          </w:tcPr>
          <w:p w:rsidR="00AE0617" w:rsidRPr="00A42B3C" w:rsidRDefault="00AE0617" w:rsidP="000B7E74">
            <w:pPr>
              <w:jc w:val="both"/>
              <w:rPr>
                <w:rFonts w:asciiTheme="majorHAnsi" w:eastAsia="Times New Roman" w:hAnsiTheme="majorHAnsi" w:cstheme="majorHAnsi"/>
                <w:color w:val="000000"/>
                <w:sz w:val="14"/>
                <w:szCs w:val="16"/>
                <w:lang w:val="en-GB" w:eastAsia="en-GB"/>
              </w:rPr>
            </w:pPr>
          </w:p>
        </w:tc>
        <w:tc>
          <w:tcPr>
            <w:tcW w:w="850" w:type="dxa"/>
            <w:vMerge/>
            <w:shd w:val="clear" w:color="auto" w:fill="auto"/>
            <w:vAlign w:val="center"/>
          </w:tcPr>
          <w:p w:rsidR="00AE0617" w:rsidRPr="00A42B3C" w:rsidRDefault="00AE0617" w:rsidP="000B7E74">
            <w:pPr>
              <w:jc w:val="both"/>
              <w:rPr>
                <w:rFonts w:asciiTheme="majorHAnsi" w:eastAsia="Times New Roman" w:hAnsiTheme="majorHAnsi" w:cstheme="majorHAnsi"/>
                <w:color w:val="000000"/>
                <w:sz w:val="14"/>
                <w:szCs w:val="16"/>
                <w:lang w:val="en-GB" w:eastAsia="en-GB"/>
              </w:rPr>
            </w:pPr>
          </w:p>
        </w:tc>
        <w:tc>
          <w:tcPr>
            <w:tcW w:w="3686" w:type="dxa"/>
            <w:shd w:val="clear" w:color="auto" w:fill="auto"/>
            <w:vAlign w:val="center"/>
          </w:tcPr>
          <w:p w:rsidR="00AE0617" w:rsidRPr="00A42B3C" w:rsidRDefault="00AE061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 xml:space="preserve">1. Member States shall ensure investor protection by requiring that covered bonds are at all times collateralised by high quality assets referred to in points (a) to (g) of Article 129(1) of Regulation (EU) No 575/2013 or by other </w:t>
            </w:r>
            <w:r w:rsidR="00DD7D35" w:rsidRPr="00A42B3C">
              <w:rPr>
                <w:rFonts w:asciiTheme="majorHAnsi" w:eastAsia="Times New Roman" w:hAnsiTheme="majorHAnsi" w:cstheme="majorHAnsi"/>
                <w:color w:val="000000"/>
                <w:sz w:val="14"/>
                <w:szCs w:val="16"/>
                <w:lang w:val="en-GB" w:eastAsia="en-GB"/>
              </w:rPr>
              <w:t>high-quality</w:t>
            </w:r>
            <w:r w:rsidRPr="00A42B3C">
              <w:rPr>
                <w:rFonts w:asciiTheme="majorHAnsi" w:eastAsia="Times New Roman" w:hAnsiTheme="majorHAnsi" w:cstheme="majorHAnsi"/>
                <w:color w:val="000000"/>
                <w:sz w:val="14"/>
                <w:szCs w:val="16"/>
                <w:lang w:val="en-GB" w:eastAsia="en-GB"/>
              </w:rPr>
              <w:t xml:space="preserve"> assets that meet at least the following requirements:</w:t>
            </w:r>
          </w:p>
        </w:tc>
        <w:tc>
          <w:tcPr>
            <w:tcW w:w="1559" w:type="dxa"/>
            <w:shd w:val="clear" w:color="auto" w:fill="auto"/>
            <w:vAlign w:val="center"/>
          </w:tcPr>
          <w:p w:rsidR="00AE0617" w:rsidRPr="00A42B3C" w:rsidRDefault="00AE061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 xml:space="preserve">As stated under Point 15 in the recital clause, also public undertakings as defined in Article 2(b) of Commission Directive 2006/111/EC should be considered eligible as cover </w:t>
            </w:r>
            <w:r w:rsidR="00DD7D35" w:rsidRPr="00A42B3C">
              <w:rPr>
                <w:rFonts w:asciiTheme="majorHAnsi" w:eastAsia="Times New Roman" w:hAnsiTheme="majorHAnsi" w:cstheme="majorHAnsi"/>
                <w:color w:val="000000"/>
                <w:sz w:val="14"/>
                <w:szCs w:val="16"/>
                <w:lang w:val="en-GB" w:eastAsia="en-GB"/>
              </w:rPr>
              <w:t>assets similar</w:t>
            </w:r>
            <w:r w:rsidRPr="00A42B3C">
              <w:rPr>
                <w:rFonts w:asciiTheme="majorHAnsi" w:eastAsia="Times New Roman" w:hAnsiTheme="majorHAnsi" w:cstheme="majorHAnsi"/>
                <w:color w:val="000000"/>
                <w:sz w:val="14"/>
                <w:szCs w:val="16"/>
                <w:lang w:val="en-GB" w:eastAsia="en-GB"/>
              </w:rPr>
              <w:t xml:space="preserve"> to assets listed in points (a) to (g) of Article 129(1) of Regulation (EU) No 575/2013.</w:t>
            </w:r>
          </w:p>
          <w:p w:rsidR="00AE0617" w:rsidRPr="00A42B3C" w:rsidRDefault="00AE0617" w:rsidP="000B7E74">
            <w:pPr>
              <w:jc w:val="both"/>
              <w:rPr>
                <w:rFonts w:asciiTheme="majorHAnsi" w:eastAsia="Times New Roman" w:hAnsiTheme="majorHAnsi" w:cstheme="majorHAnsi"/>
                <w:color w:val="000000"/>
                <w:sz w:val="14"/>
                <w:szCs w:val="16"/>
                <w:lang w:val="en-GB" w:eastAsia="en-GB"/>
              </w:rPr>
            </w:pPr>
          </w:p>
        </w:tc>
        <w:tc>
          <w:tcPr>
            <w:tcW w:w="2552" w:type="dxa"/>
            <w:shd w:val="clear" w:color="auto" w:fill="auto"/>
            <w:vAlign w:val="center"/>
          </w:tcPr>
          <w:p w:rsidR="00AE0617" w:rsidRPr="00A42B3C" w:rsidRDefault="00AE061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Public undertakings as defined in Article 2(b) of Commission Directive 2006/111/EC are of similar high quality as those listed in points (a) to (g) of Article 129(1) of Regulation (EU) No 575/2013 due to the direct or indirect</w:t>
            </w:r>
          </w:p>
          <w:p w:rsidR="00AE0617" w:rsidRPr="00A42B3C" w:rsidRDefault="00AE061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 xml:space="preserve">dominant influence by virtue of the public </w:t>
            </w:r>
            <w:r w:rsidR="00DD7D35" w:rsidRPr="00A42B3C">
              <w:rPr>
                <w:rFonts w:asciiTheme="majorHAnsi" w:eastAsia="Times New Roman" w:hAnsiTheme="majorHAnsi" w:cstheme="majorHAnsi"/>
                <w:color w:val="000000"/>
                <w:sz w:val="14"/>
                <w:szCs w:val="16"/>
                <w:lang w:val="en-GB" w:eastAsia="en-GB"/>
              </w:rPr>
              <w:t>authorities’</w:t>
            </w:r>
            <w:r w:rsidRPr="00A42B3C">
              <w:rPr>
                <w:rFonts w:asciiTheme="majorHAnsi" w:eastAsia="Times New Roman" w:hAnsiTheme="majorHAnsi" w:cstheme="majorHAnsi"/>
                <w:color w:val="000000"/>
                <w:sz w:val="14"/>
                <w:szCs w:val="16"/>
                <w:lang w:val="en-GB" w:eastAsia="en-GB"/>
              </w:rPr>
              <w:t xml:space="preserve"> ownership,</w:t>
            </w:r>
          </w:p>
          <w:p w:rsidR="00AE0617" w:rsidRPr="00A42B3C" w:rsidRDefault="00AE061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their financial participation therein, or the rules which</w:t>
            </w:r>
          </w:p>
          <w:p w:rsidR="00AE0617" w:rsidRPr="00A42B3C" w:rsidRDefault="00AE061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 xml:space="preserve">govern it. Paragraph 1 states that if the cover assets are eligible under Article 129 of the CRR or resulting from loans to public undertakings, none on the requirements in paragraphs 2 and 3 need to be met. These requirements only need </w:t>
            </w:r>
            <w:r w:rsidRPr="00A42B3C">
              <w:rPr>
                <w:rFonts w:asciiTheme="majorHAnsi" w:eastAsia="Times New Roman" w:hAnsiTheme="majorHAnsi" w:cstheme="majorHAnsi"/>
                <w:color w:val="000000"/>
                <w:sz w:val="14"/>
                <w:szCs w:val="16"/>
                <w:lang w:val="en-GB" w:eastAsia="en-GB"/>
              </w:rPr>
              <w:lastRenderedPageBreak/>
              <w:t xml:space="preserve">to be met for other </w:t>
            </w:r>
            <w:r w:rsidR="00DD7D35" w:rsidRPr="00A42B3C">
              <w:rPr>
                <w:rFonts w:asciiTheme="majorHAnsi" w:eastAsia="Times New Roman" w:hAnsiTheme="majorHAnsi" w:cstheme="majorHAnsi"/>
                <w:color w:val="000000"/>
                <w:sz w:val="14"/>
                <w:szCs w:val="16"/>
                <w:lang w:val="en-GB" w:eastAsia="en-GB"/>
              </w:rPr>
              <w:t>high-quality</w:t>
            </w:r>
            <w:r w:rsidRPr="00A42B3C">
              <w:rPr>
                <w:rFonts w:asciiTheme="majorHAnsi" w:eastAsia="Times New Roman" w:hAnsiTheme="majorHAnsi" w:cstheme="majorHAnsi"/>
                <w:color w:val="000000"/>
                <w:sz w:val="14"/>
                <w:szCs w:val="16"/>
                <w:lang w:val="en-GB" w:eastAsia="en-GB"/>
              </w:rPr>
              <w:t xml:space="preserve"> cover assets.</w:t>
            </w:r>
          </w:p>
        </w:tc>
        <w:tc>
          <w:tcPr>
            <w:tcW w:w="850" w:type="dxa"/>
            <w:vMerge/>
            <w:shd w:val="clear" w:color="auto" w:fill="auto"/>
            <w:vAlign w:val="center"/>
          </w:tcPr>
          <w:p w:rsidR="00AE0617" w:rsidRPr="00A42B3C" w:rsidRDefault="00AE0617" w:rsidP="000B7E74">
            <w:pPr>
              <w:jc w:val="both"/>
              <w:rPr>
                <w:rFonts w:asciiTheme="majorHAnsi" w:eastAsia="Times New Roman" w:hAnsiTheme="majorHAnsi" w:cstheme="majorHAnsi"/>
                <w:color w:val="000000"/>
                <w:sz w:val="14"/>
                <w:szCs w:val="16"/>
                <w:lang w:val="en-GB" w:eastAsia="en-GB"/>
              </w:rPr>
            </w:pPr>
          </w:p>
        </w:tc>
        <w:tc>
          <w:tcPr>
            <w:tcW w:w="4825" w:type="dxa"/>
            <w:shd w:val="clear" w:color="auto" w:fill="auto"/>
            <w:vAlign w:val="center"/>
          </w:tcPr>
          <w:p w:rsidR="00AE0617" w:rsidRPr="00A42B3C" w:rsidRDefault="00AE061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1. Member States shall require that covered bonds are</w:t>
            </w:r>
          </w:p>
          <w:p w:rsidR="00AE0617" w:rsidRPr="00A42B3C" w:rsidRDefault="00AE061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at all times secured by assets referred to as eligible in points (a)</w:t>
            </w:r>
          </w:p>
          <w:p w:rsidR="00AE0617" w:rsidRPr="00A42B3C" w:rsidRDefault="00AE061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to (g) of Article 129(1) of Regulation (EU) No 575/2013 and assets resulting of loans to public</w:t>
            </w:r>
          </w:p>
          <w:p w:rsidR="00AE0617" w:rsidRPr="00A42B3C" w:rsidRDefault="00AE061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 xml:space="preserve">undertakings as defined in Article 2(b) of Commission Directive 2006/111/EC. Other </w:t>
            </w:r>
            <w:r w:rsidR="00DD7D35" w:rsidRPr="00A42B3C">
              <w:rPr>
                <w:rFonts w:asciiTheme="majorHAnsi" w:eastAsia="Times New Roman" w:hAnsiTheme="majorHAnsi" w:cstheme="majorHAnsi"/>
                <w:color w:val="000000"/>
                <w:sz w:val="14"/>
                <w:szCs w:val="16"/>
                <w:lang w:val="en-GB" w:eastAsia="en-GB"/>
              </w:rPr>
              <w:t>high-quality</w:t>
            </w:r>
            <w:r w:rsidRPr="00A42B3C">
              <w:rPr>
                <w:rFonts w:asciiTheme="majorHAnsi" w:eastAsia="Times New Roman" w:hAnsiTheme="majorHAnsi" w:cstheme="majorHAnsi"/>
                <w:color w:val="000000"/>
                <w:sz w:val="14"/>
                <w:szCs w:val="16"/>
                <w:lang w:val="en-GB" w:eastAsia="en-GB"/>
              </w:rPr>
              <w:t xml:space="preserve"> cover</w:t>
            </w:r>
          </w:p>
          <w:p w:rsidR="00AE0617" w:rsidRPr="00A42B3C" w:rsidRDefault="00AE061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assets have to meet the requirements as</w:t>
            </w:r>
          </w:p>
          <w:p w:rsidR="00AE0617" w:rsidRPr="00A42B3C" w:rsidRDefault="00AE061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set out in paragraph 2 and backed by collateral assets as set out in paragraph 3.</w:t>
            </w:r>
          </w:p>
        </w:tc>
        <w:tc>
          <w:tcPr>
            <w:tcW w:w="709" w:type="dxa"/>
            <w:vMerge/>
          </w:tcPr>
          <w:p w:rsidR="00AE0617" w:rsidRPr="00A42B3C" w:rsidRDefault="00AE0617" w:rsidP="00250941">
            <w:pPr>
              <w:rPr>
                <w:rFonts w:asciiTheme="majorHAnsi" w:eastAsia="Times New Roman" w:hAnsiTheme="majorHAnsi" w:cstheme="majorHAnsi"/>
                <w:color w:val="000000"/>
                <w:sz w:val="14"/>
                <w:szCs w:val="16"/>
                <w:lang w:val="en-GB" w:eastAsia="en-GB"/>
              </w:rPr>
            </w:pPr>
          </w:p>
        </w:tc>
      </w:tr>
      <w:tr w:rsidR="00250941" w:rsidRPr="000261CA" w:rsidTr="00551893">
        <w:trPr>
          <w:trHeight w:val="3512"/>
        </w:trPr>
        <w:tc>
          <w:tcPr>
            <w:tcW w:w="846" w:type="dxa"/>
            <w:vMerge/>
            <w:vAlign w:val="center"/>
          </w:tcPr>
          <w:p w:rsidR="00AE0617" w:rsidRPr="00A42B3C" w:rsidRDefault="00AE0617" w:rsidP="000B7E74">
            <w:pPr>
              <w:jc w:val="both"/>
              <w:rPr>
                <w:rFonts w:asciiTheme="majorHAnsi" w:eastAsia="Times New Roman" w:hAnsiTheme="majorHAnsi" w:cstheme="majorHAnsi"/>
                <w:color w:val="000000"/>
                <w:sz w:val="14"/>
                <w:szCs w:val="16"/>
                <w:lang w:val="en-GB" w:eastAsia="en-GB"/>
              </w:rPr>
            </w:pPr>
          </w:p>
        </w:tc>
        <w:tc>
          <w:tcPr>
            <w:tcW w:w="850" w:type="dxa"/>
            <w:vMerge/>
            <w:shd w:val="clear" w:color="auto" w:fill="auto"/>
            <w:vAlign w:val="center"/>
          </w:tcPr>
          <w:p w:rsidR="00AE0617" w:rsidRPr="00A42B3C" w:rsidRDefault="00AE0617" w:rsidP="000B7E74">
            <w:pPr>
              <w:jc w:val="both"/>
              <w:rPr>
                <w:rFonts w:asciiTheme="majorHAnsi" w:eastAsia="Times New Roman" w:hAnsiTheme="majorHAnsi" w:cstheme="majorHAnsi"/>
                <w:color w:val="000000"/>
                <w:sz w:val="14"/>
                <w:szCs w:val="16"/>
                <w:lang w:val="en-GB" w:eastAsia="en-GB"/>
              </w:rPr>
            </w:pPr>
          </w:p>
        </w:tc>
        <w:tc>
          <w:tcPr>
            <w:tcW w:w="3686" w:type="dxa"/>
            <w:shd w:val="clear" w:color="auto" w:fill="auto"/>
            <w:vAlign w:val="center"/>
          </w:tcPr>
          <w:p w:rsidR="00AE0617" w:rsidRPr="00A42B3C" w:rsidRDefault="00AE061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 xml:space="preserve">(a) either the market value or mortgage lending value of the assets can be determined; </w:t>
            </w:r>
          </w:p>
          <w:p w:rsidR="00AE0617" w:rsidRPr="00A42B3C" w:rsidRDefault="00AE061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 xml:space="preserve">(b) a mortgage, charge, lien or other guarantee on the asset is enforceable; </w:t>
            </w:r>
          </w:p>
          <w:p w:rsidR="00AE0617" w:rsidRPr="00A42B3C" w:rsidRDefault="00AE061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(c) all legal requirements for establishing the mortgage, charge, lien or guarantee on the asset have been fulfilled;</w:t>
            </w:r>
          </w:p>
          <w:p w:rsidR="00AE0617" w:rsidRPr="00A42B3C" w:rsidRDefault="00AE061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(d) the mortgage, charge, lien or guarantee securing the asset enable the credit institution issuing covered bonds to realise the value of the asset without undue delay.</w:t>
            </w:r>
          </w:p>
          <w:p w:rsidR="00AE0617" w:rsidRPr="00A42B3C" w:rsidRDefault="00AE061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For the purposes of point (a), Member States shall lay down rules on valuation of assets.</w:t>
            </w:r>
          </w:p>
          <w:p w:rsidR="00AE0617" w:rsidRPr="00A42B3C" w:rsidRDefault="00AE061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For the purposes of point (b), Member States shall lay down rules ensuring the prompt filing and registration of mortgages, charges, liens or guarantee on assets in the cover pool.</w:t>
            </w:r>
          </w:p>
          <w:p w:rsidR="00AE0617" w:rsidRPr="00A42B3C" w:rsidRDefault="00AE061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For the purposes of points (b) and (d), Member States shall ensure that credit institutions issuing covered bonds assess the enforceability of assets before including such assets in the cover pool.</w:t>
            </w:r>
          </w:p>
        </w:tc>
        <w:tc>
          <w:tcPr>
            <w:tcW w:w="1559" w:type="dxa"/>
            <w:shd w:val="clear" w:color="auto" w:fill="auto"/>
            <w:vAlign w:val="center"/>
          </w:tcPr>
          <w:p w:rsidR="00AE0617" w:rsidRPr="00A42B3C" w:rsidRDefault="00AE061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Inserting a new paragraph (2) which defines the requirements regarding the claim for payment referred to in paragraph 1.</w:t>
            </w:r>
          </w:p>
        </w:tc>
        <w:tc>
          <w:tcPr>
            <w:tcW w:w="2552" w:type="dxa"/>
            <w:shd w:val="clear" w:color="auto" w:fill="auto"/>
            <w:vAlign w:val="center"/>
          </w:tcPr>
          <w:p w:rsidR="00AE0617" w:rsidRPr="00A42B3C" w:rsidRDefault="00AE061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Amended structure describing the legal requirements for the claim for payment.</w:t>
            </w:r>
          </w:p>
          <w:p w:rsidR="00AE0617" w:rsidRPr="00A42B3C" w:rsidRDefault="00AE061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 xml:space="preserve">The mandatory existence of a public register recording the ownership and collateral rights is harming innovation in covered bond markets. There are countries where no public registration is required to secure the enforceability of an asset. Even the CRR does not require a public register for all eligible asset classes (e.g. public sector and exposure to institutions used as additional cover assets as defined in Article 129(1) (a) to (c) of Regulation (EU) No 575/2013). And </w:t>
            </w:r>
            <w:r w:rsidR="00DD7D35" w:rsidRPr="00A42B3C">
              <w:rPr>
                <w:rFonts w:asciiTheme="majorHAnsi" w:eastAsia="Times New Roman" w:hAnsiTheme="majorHAnsi" w:cstheme="majorHAnsi"/>
                <w:color w:val="000000"/>
                <w:sz w:val="14"/>
                <w:szCs w:val="16"/>
                <w:lang w:val="en-GB" w:eastAsia="en-GB"/>
              </w:rPr>
              <w:t>therefore,</w:t>
            </w:r>
            <w:r w:rsidRPr="00A42B3C">
              <w:rPr>
                <w:rFonts w:asciiTheme="majorHAnsi" w:eastAsia="Times New Roman" w:hAnsiTheme="majorHAnsi" w:cstheme="majorHAnsi"/>
                <w:color w:val="000000"/>
                <w:sz w:val="14"/>
                <w:szCs w:val="16"/>
                <w:lang w:val="en-GB" w:eastAsia="en-GB"/>
              </w:rPr>
              <w:t xml:space="preserve"> </w:t>
            </w:r>
            <w:r w:rsidR="00DD7D35" w:rsidRPr="00A42B3C">
              <w:rPr>
                <w:rFonts w:asciiTheme="majorHAnsi" w:eastAsia="Times New Roman" w:hAnsiTheme="majorHAnsi" w:cstheme="majorHAnsi"/>
                <w:color w:val="000000"/>
                <w:sz w:val="14"/>
                <w:szCs w:val="16"/>
                <w:lang w:val="en-GB" w:eastAsia="en-GB"/>
              </w:rPr>
              <w:t>the requirement</w:t>
            </w:r>
            <w:r w:rsidRPr="00A42B3C">
              <w:rPr>
                <w:rFonts w:asciiTheme="majorHAnsi" w:eastAsia="Times New Roman" w:hAnsiTheme="majorHAnsi" w:cstheme="majorHAnsi"/>
                <w:color w:val="000000"/>
                <w:sz w:val="14"/>
                <w:szCs w:val="16"/>
                <w:lang w:val="en-GB" w:eastAsia="en-GB"/>
              </w:rPr>
              <w:t xml:space="preserve"> for a public register should only applied on physical assets.</w:t>
            </w:r>
          </w:p>
        </w:tc>
        <w:tc>
          <w:tcPr>
            <w:tcW w:w="850" w:type="dxa"/>
            <w:vMerge/>
            <w:shd w:val="clear" w:color="auto" w:fill="auto"/>
            <w:vAlign w:val="center"/>
          </w:tcPr>
          <w:p w:rsidR="00AE0617" w:rsidRPr="00A42B3C" w:rsidRDefault="00AE0617" w:rsidP="000B7E74">
            <w:pPr>
              <w:jc w:val="both"/>
              <w:rPr>
                <w:rFonts w:asciiTheme="majorHAnsi" w:eastAsia="Times New Roman" w:hAnsiTheme="majorHAnsi" w:cstheme="majorHAnsi"/>
                <w:color w:val="000000"/>
                <w:sz w:val="14"/>
                <w:szCs w:val="16"/>
                <w:lang w:val="en-GB" w:eastAsia="en-GB"/>
              </w:rPr>
            </w:pPr>
          </w:p>
        </w:tc>
        <w:tc>
          <w:tcPr>
            <w:tcW w:w="4825" w:type="dxa"/>
            <w:shd w:val="clear" w:color="auto" w:fill="auto"/>
            <w:vAlign w:val="center"/>
          </w:tcPr>
          <w:p w:rsidR="00AE0617" w:rsidRPr="00A42B3C" w:rsidRDefault="00AE061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 xml:space="preserve">2. The claim for payment referred to in paragraph 1 shall meet the following legal requirements:  </w:t>
            </w:r>
          </w:p>
          <w:p w:rsidR="00AE0617" w:rsidRPr="00A42B3C" w:rsidRDefault="00AE061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 xml:space="preserve">(a) the mortgage, charge, lien, guarantee or other security on the claim is enforceable;  </w:t>
            </w:r>
          </w:p>
          <w:p w:rsidR="00AE0617" w:rsidRPr="00A42B3C" w:rsidRDefault="00AE061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 xml:space="preserve">(b) all legal requirements for establishing the mortgage, charge, lien, guarantee or security on the claim have been fulfilled;  </w:t>
            </w:r>
          </w:p>
          <w:p w:rsidR="00AE0617" w:rsidRPr="00A42B3C" w:rsidRDefault="00AE061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 xml:space="preserve">(c) the mortgage, charge, lien, guarantee or security securing the claim enable the credit institution issuing covered bonds to receive the payment of the claim without undue delay. </w:t>
            </w:r>
          </w:p>
          <w:p w:rsidR="00AE0617" w:rsidRPr="00A42B3C" w:rsidRDefault="00AE0617" w:rsidP="000B7E74">
            <w:pPr>
              <w:jc w:val="both"/>
              <w:rPr>
                <w:rFonts w:asciiTheme="majorHAnsi" w:eastAsia="Times New Roman" w:hAnsiTheme="majorHAnsi" w:cstheme="majorHAnsi"/>
                <w:color w:val="000000"/>
                <w:sz w:val="14"/>
                <w:szCs w:val="16"/>
                <w:lang w:val="en-GB" w:eastAsia="en-GB"/>
              </w:rPr>
            </w:pPr>
          </w:p>
          <w:p w:rsidR="00AE0617" w:rsidRPr="00A42B3C" w:rsidRDefault="00AE061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 xml:space="preserve">For physical assets, Member States shall lay down rules for the purposes of point (b) ensuring the prompt filing or registration of mortgages, charges, liens, guarantees or securities on the claims in the cover pool. </w:t>
            </w:r>
          </w:p>
          <w:p w:rsidR="00AE0617" w:rsidRPr="00A42B3C" w:rsidRDefault="00AE0617" w:rsidP="000B7E74">
            <w:pPr>
              <w:jc w:val="both"/>
              <w:rPr>
                <w:rFonts w:asciiTheme="majorHAnsi" w:eastAsia="Times New Roman" w:hAnsiTheme="majorHAnsi" w:cstheme="majorHAnsi"/>
                <w:color w:val="000000"/>
                <w:sz w:val="14"/>
                <w:szCs w:val="16"/>
                <w:lang w:val="en-GB" w:eastAsia="en-GB"/>
              </w:rPr>
            </w:pPr>
          </w:p>
          <w:p w:rsidR="00AE0617" w:rsidRPr="00A42B3C" w:rsidRDefault="00AE061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 xml:space="preserve">For the purposes of points (b) and (c), Member States shall ensure that credit institutions issuing covered bonds assess the enforceability of claims before including them in the cover pool.  </w:t>
            </w:r>
          </w:p>
        </w:tc>
        <w:tc>
          <w:tcPr>
            <w:tcW w:w="709" w:type="dxa"/>
            <w:vMerge/>
          </w:tcPr>
          <w:p w:rsidR="00AE0617" w:rsidRPr="00A42B3C" w:rsidRDefault="00AE0617" w:rsidP="00250941">
            <w:pPr>
              <w:rPr>
                <w:rFonts w:asciiTheme="majorHAnsi" w:eastAsia="Times New Roman" w:hAnsiTheme="majorHAnsi" w:cstheme="majorHAnsi"/>
                <w:color w:val="000000"/>
                <w:sz w:val="14"/>
                <w:szCs w:val="16"/>
                <w:lang w:val="en-GB" w:eastAsia="en-GB"/>
              </w:rPr>
            </w:pPr>
          </w:p>
        </w:tc>
      </w:tr>
      <w:tr w:rsidR="00250941" w:rsidRPr="000261CA" w:rsidTr="00551893">
        <w:trPr>
          <w:trHeight w:val="475"/>
        </w:trPr>
        <w:tc>
          <w:tcPr>
            <w:tcW w:w="846" w:type="dxa"/>
            <w:vMerge/>
            <w:vAlign w:val="center"/>
          </w:tcPr>
          <w:p w:rsidR="00AE0617" w:rsidRPr="00A42B3C" w:rsidRDefault="00AE0617" w:rsidP="000B7E74">
            <w:pPr>
              <w:jc w:val="both"/>
              <w:rPr>
                <w:rFonts w:asciiTheme="majorHAnsi" w:eastAsia="Times New Roman" w:hAnsiTheme="majorHAnsi" w:cstheme="majorHAnsi"/>
                <w:color w:val="000000"/>
                <w:sz w:val="14"/>
                <w:szCs w:val="16"/>
                <w:lang w:val="en-GB" w:eastAsia="en-GB"/>
              </w:rPr>
            </w:pPr>
          </w:p>
        </w:tc>
        <w:tc>
          <w:tcPr>
            <w:tcW w:w="850" w:type="dxa"/>
            <w:vMerge/>
            <w:shd w:val="clear" w:color="auto" w:fill="auto"/>
            <w:vAlign w:val="center"/>
          </w:tcPr>
          <w:p w:rsidR="00AE0617" w:rsidRPr="00A42B3C" w:rsidRDefault="00AE0617" w:rsidP="000B7E74">
            <w:pPr>
              <w:jc w:val="both"/>
              <w:rPr>
                <w:rFonts w:asciiTheme="majorHAnsi" w:eastAsia="Times New Roman" w:hAnsiTheme="majorHAnsi" w:cstheme="majorHAnsi"/>
                <w:color w:val="000000"/>
                <w:sz w:val="14"/>
                <w:szCs w:val="16"/>
                <w:lang w:val="en-GB" w:eastAsia="en-GB"/>
              </w:rPr>
            </w:pPr>
          </w:p>
        </w:tc>
        <w:tc>
          <w:tcPr>
            <w:tcW w:w="3686" w:type="dxa"/>
            <w:shd w:val="clear" w:color="auto" w:fill="auto"/>
            <w:vAlign w:val="center"/>
          </w:tcPr>
          <w:p w:rsidR="00AE0617" w:rsidRPr="00A42B3C" w:rsidRDefault="00AE061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2. Member States shall ensure investor protection by requiring that credit institutions issuing covered bonds have in place procedures to monitor that the assets used as collateral are adequately insured against the risk of damage.</w:t>
            </w:r>
          </w:p>
        </w:tc>
        <w:tc>
          <w:tcPr>
            <w:tcW w:w="1559" w:type="dxa"/>
            <w:shd w:val="clear" w:color="auto" w:fill="auto"/>
            <w:vAlign w:val="center"/>
          </w:tcPr>
          <w:p w:rsidR="00AE0617" w:rsidRPr="00A42B3C" w:rsidRDefault="00AE061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Inserting a new paragraph 3 which defines the requirements regarding the collateral assets referred to in paragraph 1, which can be either physical assets or assets in the form of exposures.</w:t>
            </w:r>
          </w:p>
        </w:tc>
        <w:tc>
          <w:tcPr>
            <w:tcW w:w="2552" w:type="dxa"/>
            <w:shd w:val="clear" w:color="auto" w:fill="auto"/>
            <w:vAlign w:val="center"/>
          </w:tcPr>
          <w:p w:rsidR="00AE0617" w:rsidRPr="00A42B3C" w:rsidRDefault="00AE061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Amended structure describing the legal requirements for the collateral assets.</w:t>
            </w:r>
          </w:p>
          <w:p w:rsidR="00AE0617" w:rsidRPr="00A42B3C" w:rsidRDefault="00AE0617" w:rsidP="000B7E74">
            <w:pPr>
              <w:jc w:val="both"/>
              <w:rPr>
                <w:rFonts w:asciiTheme="majorHAnsi" w:eastAsia="Times New Roman" w:hAnsiTheme="majorHAnsi" w:cstheme="majorHAnsi"/>
                <w:color w:val="000000"/>
                <w:sz w:val="14"/>
                <w:szCs w:val="16"/>
                <w:lang w:val="en-GB" w:eastAsia="en-GB"/>
              </w:rPr>
            </w:pPr>
          </w:p>
          <w:p w:rsidR="00AE0617" w:rsidRPr="00A42B3C" w:rsidRDefault="00AE061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An on-going credit risk assessment based on a regulator-permitted IRB Approach as defined in Articles 143 and 144 of Regulation (EU) No 575/2013 should be considered equal to a rating provided by a nominated ECAI.</w:t>
            </w:r>
          </w:p>
        </w:tc>
        <w:tc>
          <w:tcPr>
            <w:tcW w:w="850" w:type="dxa"/>
            <w:vMerge/>
            <w:shd w:val="clear" w:color="auto" w:fill="auto"/>
            <w:vAlign w:val="center"/>
          </w:tcPr>
          <w:p w:rsidR="00AE0617" w:rsidRPr="00A42B3C" w:rsidRDefault="00AE0617" w:rsidP="000B7E74">
            <w:pPr>
              <w:jc w:val="both"/>
              <w:rPr>
                <w:rFonts w:asciiTheme="majorHAnsi" w:eastAsia="Times New Roman" w:hAnsiTheme="majorHAnsi" w:cstheme="majorHAnsi"/>
                <w:color w:val="000000"/>
                <w:sz w:val="14"/>
                <w:szCs w:val="16"/>
                <w:lang w:val="en-GB" w:eastAsia="en-GB"/>
              </w:rPr>
            </w:pPr>
          </w:p>
        </w:tc>
        <w:tc>
          <w:tcPr>
            <w:tcW w:w="4825" w:type="dxa"/>
            <w:shd w:val="clear" w:color="auto" w:fill="auto"/>
            <w:vAlign w:val="center"/>
          </w:tcPr>
          <w:p w:rsidR="00AE0617" w:rsidRPr="00A42B3C" w:rsidRDefault="00AE061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 xml:space="preserve">3. The collateral assets referred to in paragraph 1 shall meet either of the following requirements: </w:t>
            </w:r>
          </w:p>
          <w:p w:rsidR="00AE0617" w:rsidRPr="00A42B3C" w:rsidRDefault="00AE0617" w:rsidP="000B7E74">
            <w:pPr>
              <w:jc w:val="both"/>
              <w:rPr>
                <w:rFonts w:asciiTheme="majorHAnsi" w:eastAsia="Times New Roman" w:hAnsiTheme="majorHAnsi" w:cstheme="majorHAnsi"/>
                <w:color w:val="000000"/>
                <w:sz w:val="14"/>
                <w:szCs w:val="16"/>
                <w:lang w:val="en-GB" w:eastAsia="en-GB"/>
              </w:rPr>
            </w:pPr>
          </w:p>
          <w:p w:rsidR="00AE0617" w:rsidRPr="00A42B3C" w:rsidRDefault="00AE061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 xml:space="preserve">(a) for physical assets either the market or the mortgage lending value can be determined or, if this is not possible, the asset is valued by rules laid down by the Member State; </w:t>
            </w:r>
          </w:p>
          <w:p w:rsidR="00AE0617" w:rsidRPr="00A42B3C" w:rsidRDefault="00AE0617" w:rsidP="000B7E74">
            <w:pPr>
              <w:jc w:val="both"/>
              <w:rPr>
                <w:rFonts w:asciiTheme="majorHAnsi" w:eastAsia="Times New Roman" w:hAnsiTheme="majorHAnsi" w:cstheme="majorHAnsi"/>
                <w:color w:val="000000"/>
                <w:sz w:val="14"/>
                <w:szCs w:val="16"/>
                <w:lang w:val="en-GB" w:eastAsia="en-GB"/>
              </w:rPr>
            </w:pPr>
          </w:p>
          <w:p w:rsidR="00AE0617" w:rsidRPr="00A42B3C" w:rsidRDefault="00AE061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 xml:space="preserve">(b) for assets in the form of exposures to a counterparty, the counterparty's safety and soundness is inferred from being subject to either public supervision or an on-going credit risk assessment based on a regulator-permitted IRB Approach as defined in Articles 143 and 144 of Regulation (EU) No 575/2013 or provided by an independent professional third party.  </w:t>
            </w:r>
          </w:p>
          <w:p w:rsidR="00AE0617" w:rsidRPr="00A42B3C" w:rsidRDefault="00AE0617" w:rsidP="000B7E74">
            <w:pPr>
              <w:jc w:val="both"/>
              <w:rPr>
                <w:rFonts w:asciiTheme="majorHAnsi" w:eastAsia="Times New Roman" w:hAnsiTheme="majorHAnsi" w:cstheme="majorHAnsi"/>
                <w:color w:val="000000"/>
                <w:sz w:val="14"/>
                <w:szCs w:val="16"/>
                <w:lang w:val="en-GB" w:eastAsia="en-GB"/>
              </w:rPr>
            </w:pPr>
          </w:p>
          <w:p w:rsidR="00AE0617" w:rsidRPr="00A42B3C" w:rsidRDefault="00AE061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 xml:space="preserve">For the purposes of point (a), Member States shall lay down rules on the valuation methodology and process ensuring that the collateral physical asset is valued by an independent valuer at or at less than market or mortgage lending value at the moment of inclusion in the cover pool. </w:t>
            </w:r>
          </w:p>
          <w:p w:rsidR="00AE0617" w:rsidRPr="00A42B3C" w:rsidRDefault="00AE0617" w:rsidP="000B7E74">
            <w:pPr>
              <w:jc w:val="both"/>
              <w:rPr>
                <w:rFonts w:asciiTheme="majorHAnsi" w:eastAsia="Times New Roman" w:hAnsiTheme="majorHAnsi" w:cstheme="majorHAnsi"/>
                <w:color w:val="000000"/>
                <w:sz w:val="14"/>
                <w:szCs w:val="16"/>
                <w:lang w:val="en-GB" w:eastAsia="en-GB"/>
              </w:rPr>
            </w:pPr>
          </w:p>
          <w:p w:rsidR="00AE0617" w:rsidRPr="00A42B3C" w:rsidRDefault="00AE061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 xml:space="preserve">For the purposes of point (a) Member States shall require that credit institutions issuing covered bonds have in place procedures to monitor that the collateral physical assets are adequately insured against the risk of damage.  </w:t>
            </w:r>
          </w:p>
        </w:tc>
        <w:tc>
          <w:tcPr>
            <w:tcW w:w="709" w:type="dxa"/>
            <w:vMerge/>
          </w:tcPr>
          <w:p w:rsidR="00AE0617" w:rsidRPr="00A42B3C" w:rsidRDefault="00AE0617" w:rsidP="00250941">
            <w:pPr>
              <w:rPr>
                <w:rFonts w:asciiTheme="majorHAnsi" w:eastAsia="Times New Roman" w:hAnsiTheme="majorHAnsi" w:cstheme="majorHAnsi"/>
                <w:color w:val="000000"/>
                <w:sz w:val="14"/>
                <w:szCs w:val="16"/>
                <w:lang w:val="en-GB" w:eastAsia="en-GB"/>
              </w:rPr>
            </w:pPr>
          </w:p>
        </w:tc>
      </w:tr>
      <w:tr w:rsidR="00250941" w:rsidRPr="000261CA" w:rsidTr="00551893">
        <w:trPr>
          <w:trHeight w:val="475"/>
        </w:trPr>
        <w:tc>
          <w:tcPr>
            <w:tcW w:w="846" w:type="dxa"/>
            <w:vMerge/>
            <w:vAlign w:val="center"/>
          </w:tcPr>
          <w:p w:rsidR="00AE0617" w:rsidRPr="00A42B3C" w:rsidRDefault="00AE0617" w:rsidP="000B7E74">
            <w:pPr>
              <w:jc w:val="both"/>
              <w:rPr>
                <w:rFonts w:asciiTheme="majorHAnsi" w:eastAsia="Times New Roman" w:hAnsiTheme="majorHAnsi" w:cstheme="majorHAnsi"/>
                <w:color w:val="000000"/>
                <w:sz w:val="14"/>
                <w:szCs w:val="16"/>
                <w:lang w:val="en-GB" w:eastAsia="en-GB"/>
              </w:rPr>
            </w:pPr>
          </w:p>
        </w:tc>
        <w:tc>
          <w:tcPr>
            <w:tcW w:w="850" w:type="dxa"/>
            <w:vMerge/>
            <w:shd w:val="clear" w:color="auto" w:fill="auto"/>
            <w:vAlign w:val="center"/>
          </w:tcPr>
          <w:p w:rsidR="00AE0617" w:rsidRPr="00A42B3C" w:rsidRDefault="00AE0617" w:rsidP="000B7E74">
            <w:pPr>
              <w:jc w:val="both"/>
              <w:rPr>
                <w:rFonts w:asciiTheme="majorHAnsi" w:eastAsia="Times New Roman" w:hAnsiTheme="majorHAnsi" w:cstheme="majorHAnsi"/>
                <w:color w:val="000000"/>
                <w:sz w:val="14"/>
                <w:szCs w:val="16"/>
                <w:lang w:val="en-GB" w:eastAsia="en-GB"/>
              </w:rPr>
            </w:pPr>
          </w:p>
        </w:tc>
        <w:tc>
          <w:tcPr>
            <w:tcW w:w="3686" w:type="dxa"/>
            <w:shd w:val="clear" w:color="auto" w:fill="auto"/>
            <w:vAlign w:val="center"/>
          </w:tcPr>
          <w:p w:rsidR="00AE0617" w:rsidRPr="00A42B3C" w:rsidRDefault="00AE061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3. For the purposes of paragraphs 1 and 2, Member States shall require credit institutions issuing covered bonds to document the assets used as collateral and their lending policies regarding their compliance with those paragraphs.</w:t>
            </w:r>
          </w:p>
        </w:tc>
        <w:tc>
          <w:tcPr>
            <w:tcW w:w="1559" w:type="dxa"/>
            <w:shd w:val="clear" w:color="auto" w:fill="auto"/>
            <w:vAlign w:val="center"/>
          </w:tcPr>
          <w:p w:rsidR="00AE0617" w:rsidRPr="00A42B3C" w:rsidRDefault="00AE061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Inserting a new paragraph 4 which defines the requirements for documentation.</w:t>
            </w:r>
          </w:p>
        </w:tc>
        <w:tc>
          <w:tcPr>
            <w:tcW w:w="2552" w:type="dxa"/>
            <w:shd w:val="clear" w:color="auto" w:fill="auto"/>
            <w:vAlign w:val="center"/>
          </w:tcPr>
          <w:p w:rsidR="00AE0617" w:rsidRPr="00A42B3C" w:rsidRDefault="00AE061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 xml:space="preserve">Amended structure describing the legal requirements </w:t>
            </w:r>
            <w:r w:rsidR="00DD7D35" w:rsidRPr="00A42B3C">
              <w:rPr>
                <w:rFonts w:asciiTheme="majorHAnsi" w:eastAsia="Times New Roman" w:hAnsiTheme="majorHAnsi" w:cstheme="majorHAnsi"/>
                <w:color w:val="000000"/>
                <w:sz w:val="14"/>
                <w:szCs w:val="16"/>
                <w:lang w:val="en-GB" w:eastAsia="en-GB"/>
              </w:rPr>
              <w:t>for documentation</w:t>
            </w:r>
            <w:r w:rsidRPr="00A42B3C">
              <w:rPr>
                <w:rFonts w:asciiTheme="majorHAnsi" w:eastAsia="Times New Roman" w:hAnsiTheme="majorHAnsi" w:cstheme="majorHAnsi"/>
                <w:color w:val="000000"/>
                <w:sz w:val="14"/>
                <w:szCs w:val="16"/>
                <w:lang w:val="en-GB" w:eastAsia="en-GB"/>
              </w:rPr>
              <w:t>.</w:t>
            </w:r>
          </w:p>
        </w:tc>
        <w:tc>
          <w:tcPr>
            <w:tcW w:w="850" w:type="dxa"/>
            <w:vMerge/>
            <w:shd w:val="clear" w:color="auto" w:fill="auto"/>
            <w:vAlign w:val="center"/>
          </w:tcPr>
          <w:p w:rsidR="00AE0617" w:rsidRPr="00A42B3C" w:rsidRDefault="00AE0617" w:rsidP="000B7E74">
            <w:pPr>
              <w:jc w:val="both"/>
              <w:rPr>
                <w:rFonts w:asciiTheme="majorHAnsi" w:eastAsia="Times New Roman" w:hAnsiTheme="majorHAnsi" w:cstheme="majorHAnsi"/>
                <w:color w:val="000000"/>
                <w:sz w:val="14"/>
                <w:szCs w:val="16"/>
                <w:lang w:val="en-GB" w:eastAsia="en-GB"/>
              </w:rPr>
            </w:pPr>
          </w:p>
        </w:tc>
        <w:tc>
          <w:tcPr>
            <w:tcW w:w="4825" w:type="dxa"/>
            <w:shd w:val="clear" w:color="auto" w:fill="auto"/>
            <w:vAlign w:val="center"/>
          </w:tcPr>
          <w:p w:rsidR="00AE0617" w:rsidRPr="00A42B3C" w:rsidRDefault="00AE0617"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4. Member States shall require credit institutions issuing covered bonds to document the cover assets as referred to in paragraph 1 and their lending policies regarding their compliance with this Article.</w:t>
            </w:r>
          </w:p>
        </w:tc>
        <w:tc>
          <w:tcPr>
            <w:tcW w:w="709" w:type="dxa"/>
            <w:vMerge/>
          </w:tcPr>
          <w:p w:rsidR="00AE0617" w:rsidRPr="00A42B3C" w:rsidRDefault="00AE0617" w:rsidP="00250941">
            <w:pPr>
              <w:rPr>
                <w:rFonts w:asciiTheme="majorHAnsi" w:eastAsia="Times New Roman" w:hAnsiTheme="majorHAnsi" w:cstheme="majorHAnsi"/>
                <w:color w:val="000000"/>
                <w:sz w:val="14"/>
                <w:szCs w:val="16"/>
                <w:lang w:val="en-GB" w:eastAsia="en-GB"/>
              </w:rPr>
            </w:pPr>
          </w:p>
        </w:tc>
      </w:tr>
      <w:tr w:rsidR="00551893" w:rsidRPr="00A42B3C" w:rsidTr="00551893">
        <w:trPr>
          <w:trHeight w:val="475"/>
        </w:trPr>
        <w:tc>
          <w:tcPr>
            <w:tcW w:w="846" w:type="dxa"/>
            <w:vAlign w:val="center"/>
          </w:tcPr>
          <w:p w:rsidR="00551893" w:rsidRPr="00A42B3C" w:rsidRDefault="00551893"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3</w:t>
            </w:r>
          </w:p>
        </w:tc>
        <w:tc>
          <w:tcPr>
            <w:tcW w:w="850" w:type="dxa"/>
            <w:shd w:val="clear" w:color="auto" w:fill="auto"/>
          </w:tcPr>
          <w:p w:rsidR="00551893" w:rsidRPr="00A42B3C" w:rsidRDefault="00551893"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Article 7 paragraph 2 of the Directive</w:t>
            </w:r>
          </w:p>
        </w:tc>
        <w:tc>
          <w:tcPr>
            <w:tcW w:w="3686" w:type="dxa"/>
            <w:shd w:val="clear" w:color="auto" w:fill="auto"/>
          </w:tcPr>
          <w:p w:rsidR="00551893" w:rsidRPr="00A42B3C" w:rsidRDefault="00551893"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2. Where Member States allow for the inclusion referred to in paragraph 1, they shall ensure investor protection by verifying whether the assets located outside of the Union meet all the requirements set out in Article 6 and that the realisation of such assets is legally enforceable in a way similar to assets located within the Union.</w:t>
            </w:r>
          </w:p>
        </w:tc>
        <w:tc>
          <w:tcPr>
            <w:tcW w:w="1559" w:type="dxa"/>
            <w:shd w:val="clear" w:color="auto" w:fill="auto"/>
          </w:tcPr>
          <w:p w:rsidR="00551893" w:rsidRPr="00A42B3C" w:rsidRDefault="00551893"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 xml:space="preserve">Confirmation needed that assets outside the Union should still qualify as eligible asset for a cover pool. </w:t>
            </w:r>
          </w:p>
        </w:tc>
        <w:tc>
          <w:tcPr>
            <w:tcW w:w="2552" w:type="dxa"/>
            <w:shd w:val="clear" w:color="auto" w:fill="auto"/>
            <w:vAlign w:val="center"/>
          </w:tcPr>
          <w:p w:rsidR="00551893" w:rsidRPr="00A42B3C" w:rsidRDefault="00551893"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 xml:space="preserve">Assets outside the Union or the European Economic Area should be allowed as collateral. </w:t>
            </w:r>
            <w:r w:rsidR="00EA7097" w:rsidRPr="00A42B3C">
              <w:rPr>
                <w:rFonts w:asciiTheme="majorHAnsi" w:eastAsia="Times New Roman" w:hAnsiTheme="majorHAnsi" w:cstheme="majorHAnsi"/>
                <w:color w:val="000000"/>
                <w:sz w:val="14"/>
                <w:szCs w:val="16"/>
                <w:lang w:val="en-GB" w:eastAsia="en-GB"/>
              </w:rPr>
              <w:t>However, Member</w:t>
            </w:r>
            <w:r w:rsidRPr="00A42B3C">
              <w:rPr>
                <w:rFonts w:asciiTheme="majorHAnsi" w:eastAsia="Times New Roman" w:hAnsiTheme="majorHAnsi" w:cstheme="majorHAnsi"/>
                <w:color w:val="000000"/>
                <w:sz w:val="14"/>
                <w:szCs w:val="16"/>
                <w:lang w:val="en-GB" w:eastAsia="en-GB"/>
              </w:rPr>
              <w:t xml:space="preserve"> States shall be free to limit the scope of eligible countries in their national frameworks. It is not justified to open the market for third countries (non-EEA) covered bonds on the one hand but excluding non-EEA assets in cover pools on the other hand.  </w:t>
            </w:r>
          </w:p>
        </w:tc>
        <w:tc>
          <w:tcPr>
            <w:tcW w:w="850" w:type="dxa"/>
            <w:shd w:val="clear" w:color="auto" w:fill="auto"/>
            <w:vAlign w:val="center"/>
          </w:tcPr>
          <w:p w:rsidR="00551893" w:rsidRPr="00A42B3C" w:rsidRDefault="00551893"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high</w:t>
            </w:r>
          </w:p>
        </w:tc>
        <w:tc>
          <w:tcPr>
            <w:tcW w:w="4825" w:type="dxa"/>
            <w:shd w:val="clear" w:color="auto" w:fill="auto"/>
            <w:vAlign w:val="center"/>
          </w:tcPr>
          <w:p w:rsidR="00551893" w:rsidRPr="00A42B3C" w:rsidRDefault="00551893"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2. Where Member States allow for the inclusion referred to in paragraph 1, they shall ensure investor protection by verifying whether the assets located outside of the Union meet all the requirements set out in Article 6 and that the realisation of such assets is legally enforceable in a way similar to assets located within the Union.  Members may lay down rules to limit the amount of assets outside the Union in a cover pool.</w:t>
            </w:r>
          </w:p>
        </w:tc>
        <w:tc>
          <w:tcPr>
            <w:tcW w:w="709" w:type="dxa"/>
          </w:tcPr>
          <w:p w:rsidR="00551893" w:rsidRPr="00A42B3C" w:rsidRDefault="00551893" w:rsidP="00551893">
            <w:pPr>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national</w:t>
            </w:r>
          </w:p>
        </w:tc>
      </w:tr>
      <w:tr w:rsidR="00551893" w:rsidRPr="00A42B3C" w:rsidTr="00551893">
        <w:trPr>
          <w:trHeight w:val="475"/>
        </w:trPr>
        <w:tc>
          <w:tcPr>
            <w:tcW w:w="846" w:type="dxa"/>
            <w:vMerge w:val="restart"/>
            <w:vAlign w:val="center"/>
          </w:tcPr>
          <w:p w:rsidR="00551893" w:rsidRPr="00A42B3C" w:rsidRDefault="00551893"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4</w:t>
            </w:r>
          </w:p>
        </w:tc>
        <w:tc>
          <w:tcPr>
            <w:tcW w:w="850" w:type="dxa"/>
            <w:vMerge w:val="restart"/>
            <w:shd w:val="clear" w:color="auto" w:fill="auto"/>
            <w:vAlign w:val="center"/>
          </w:tcPr>
          <w:p w:rsidR="00551893" w:rsidRPr="00A42B3C" w:rsidRDefault="00551893"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Article 8 (d) of the Directive</w:t>
            </w:r>
          </w:p>
          <w:p w:rsidR="00551893" w:rsidRPr="00A42B3C" w:rsidRDefault="00551893" w:rsidP="000B7E74">
            <w:pPr>
              <w:jc w:val="both"/>
              <w:rPr>
                <w:rFonts w:asciiTheme="majorHAnsi" w:eastAsia="Times New Roman" w:hAnsiTheme="majorHAnsi" w:cstheme="majorHAnsi"/>
                <w:color w:val="000000"/>
                <w:sz w:val="14"/>
                <w:szCs w:val="16"/>
                <w:lang w:val="en-GB" w:eastAsia="en-GB"/>
              </w:rPr>
            </w:pPr>
          </w:p>
          <w:p w:rsidR="00551893" w:rsidRPr="00A42B3C" w:rsidRDefault="00551893" w:rsidP="000B7E74">
            <w:pPr>
              <w:jc w:val="both"/>
              <w:rPr>
                <w:rFonts w:asciiTheme="majorHAnsi" w:eastAsia="Times New Roman" w:hAnsiTheme="majorHAnsi" w:cstheme="majorHAnsi"/>
                <w:color w:val="000000"/>
                <w:sz w:val="14"/>
                <w:szCs w:val="16"/>
                <w:lang w:val="en-GB" w:eastAsia="en-GB"/>
              </w:rPr>
            </w:pPr>
          </w:p>
          <w:p w:rsidR="00551893" w:rsidRPr="00A42B3C" w:rsidRDefault="00551893"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Article 9 paragraph 1 of the Directive</w:t>
            </w:r>
          </w:p>
        </w:tc>
        <w:tc>
          <w:tcPr>
            <w:tcW w:w="3686" w:type="dxa"/>
            <w:shd w:val="clear" w:color="auto" w:fill="auto"/>
            <w:vAlign w:val="center"/>
          </w:tcPr>
          <w:p w:rsidR="00551893" w:rsidRPr="00A42B3C" w:rsidRDefault="00551893"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(d) both the internally and the externally issued covered bonds qualify for credit quality step 1 as referred to in Part Three, Title II, Chapter 2 of Regulation (EU) No 575/2013 and are collateralised by residential or commercial property mortgages.</w:t>
            </w:r>
          </w:p>
        </w:tc>
        <w:tc>
          <w:tcPr>
            <w:tcW w:w="1559" w:type="dxa"/>
            <w:shd w:val="clear" w:color="auto" w:fill="auto"/>
            <w:vAlign w:val="center"/>
          </w:tcPr>
          <w:p w:rsidR="00551893" w:rsidRPr="00A42B3C" w:rsidRDefault="00551893"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 xml:space="preserve">Intragroup pooled covered bond structures should be allowed not only </w:t>
            </w:r>
            <w:r w:rsidR="00EA7097" w:rsidRPr="00A42B3C">
              <w:rPr>
                <w:rFonts w:asciiTheme="majorHAnsi" w:eastAsia="Times New Roman" w:hAnsiTheme="majorHAnsi" w:cstheme="majorHAnsi"/>
                <w:color w:val="000000"/>
                <w:sz w:val="14"/>
                <w:szCs w:val="16"/>
                <w:lang w:val="en-GB" w:eastAsia="en-GB"/>
              </w:rPr>
              <w:t>for covered</w:t>
            </w:r>
            <w:r w:rsidRPr="00A42B3C">
              <w:rPr>
                <w:rFonts w:asciiTheme="majorHAnsi" w:eastAsia="Times New Roman" w:hAnsiTheme="majorHAnsi" w:cstheme="majorHAnsi"/>
                <w:color w:val="000000"/>
                <w:sz w:val="14"/>
                <w:szCs w:val="16"/>
                <w:lang w:val="en-GB" w:eastAsia="en-GB"/>
              </w:rPr>
              <w:t xml:space="preserve"> bonds collateralised by residential or commercial property mortgages but for all eligible Assets in accordance Article 6 of the directive. The restriction on the covered bonds qualifying for credit quality step 1 is </w:t>
            </w:r>
            <w:r w:rsidR="00EA7097" w:rsidRPr="00A42B3C">
              <w:rPr>
                <w:rFonts w:asciiTheme="majorHAnsi" w:eastAsia="Times New Roman" w:hAnsiTheme="majorHAnsi" w:cstheme="majorHAnsi"/>
                <w:color w:val="000000"/>
                <w:sz w:val="14"/>
                <w:szCs w:val="16"/>
                <w:lang w:val="en-GB" w:eastAsia="en-GB"/>
              </w:rPr>
              <w:t>too</w:t>
            </w:r>
            <w:r w:rsidRPr="00A42B3C">
              <w:rPr>
                <w:rFonts w:asciiTheme="majorHAnsi" w:eastAsia="Times New Roman" w:hAnsiTheme="majorHAnsi" w:cstheme="majorHAnsi"/>
                <w:color w:val="000000"/>
                <w:sz w:val="14"/>
                <w:szCs w:val="16"/>
                <w:lang w:val="en-GB" w:eastAsia="en-GB"/>
              </w:rPr>
              <w:t xml:space="preserve"> tight.  </w:t>
            </w:r>
            <w:r w:rsidR="00EA7097" w:rsidRPr="00A42B3C">
              <w:rPr>
                <w:rFonts w:asciiTheme="majorHAnsi" w:eastAsia="Times New Roman" w:hAnsiTheme="majorHAnsi" w:cstheme="majorHAnsi"/>
                <w:color w:val="000000"/>
                <w:sz w:val="14"/>
                <w:szCs w:val="16"/>
                <w:lang w:val="en-GB" w:eastAsia="en-GB"/>
              </w:rPr>
              <w:t>Also,</w:t>
            </w:r>
            <w:r w:rsidRPr="00A42B3C">
              <w:rPr>
                <w:rFonts w:asciiTheme="majorHAnsi" w:eastAsia="Times New Roman" w:hAnsiTheme="majorHAnsi" w:cstheme="majorHAnsi"/>
                <w:color w:val="000000"/>
                <w:sz w:val="14"/>
                <w:szCs w:val="16"/>
                <w:lang w:val="en-GB" w:eastAsia="en-GB"/>
              </w:rPr>
              <w:t xml:space="preserve"> credit quality step 2 should be allowed.</w:t>
            </w:r>
          </w:p>
        </w:tc>
        <w:tc>
          <w:tcPr>
            <w:tcW w:w="2552" w:type="dxa"/>
            <w:shd w:val="clear" w:color="auto" w:fill="auto"/>
            <w:vAlign w:val="center"/>
          </w:tcPr>
          <w:p w:rsidR="00551893" w:rsidRPr="00A42B3C" w:rsidRDefault="00551893"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 xml:space="preserve">Discrimination of eligible assets based on Article 6 other than residential or commercial property mortgages should be avoided. Credit quality Step </w:t>
            </w:r>
            <w:r w:rsidR="00EA7097" w:rsidRPr="00A42B3C">
              <w:rPr>
                <w:rFonts w:asciiTheme="majorHAnsi" w:eastAsia="Times New Roman" w:hAnsiTheme="majorHAnsi" w:cstheme="majorHAnsi"/>
                <w:color w:val="000000"/>
                <w:sz w:val="14"/>
                <w:szCs w:val="16"/>
                <w:lang w:val="en-GB" w:eastAsia="en-GB"/>
              </w:rPr>
              <w:t>2 covered</w:t>
            </w:r>
            <w:r w:rsidRPr="00A42B3C">
              <w:rPr>
                <w:rFonts w:asciiTheme="majorHAnsi" w:eastAsia="Times New Roman" w:hAnsiTheme="majorHAnsi" w:cstheme="majorHAnsi"/>
                <w:color w:val="000000"/>
                <w:sz w:val="14"/>
                <w:szCs w:val="16"/>
                <w:lang w:val="en-GB" w:eastAsia="en-GB"/>
              </w:rPr>
              <w:t xml:space="preserve"> bonds still represent a high quality. The use of intragroup pooled c</w:t>
            </w:r>
            <w:r w:rsidR="00716156">
              <w:rPr>
                <w:rFonts w:asciiTheme="majorHAnsi" w:eastAsia="Times New Roman" w:hAnsiTheme="majorHAnsi" w:cstheme="majorHAnsi"/>
                <w:color w:val="000000"/>
                <w:sz w:val="14"/>
                <w:szCs w:val="16"/>
                <w:lang w:val="en-GB" w:eastAsia="en-GB"/>
              </w:rPr>
              <w:t xml:space="preserve">overed </w:t>
            </w:r>
            <w:r w:rsidRPr="00A42B3C">
              <w:rPr>
                <w:rFonts w:asciiTheme="majorHAnsi" w:eastAsia="Times New Roman" w:hAnsiTheme="majorHAnsi" w:cstheme="majorHAnsi"/>
                <w:color w:val="000000"/>
                <w:sz w:val="14"/>
                <w:szCs w:val="16"/>
                <w:lang w:val="en-GB" w:eastAsia="en-GB"/>
              </w:rPr>
              <w:t>b</w:t>
            </w:r>
            <w:r w:rsidR="00716156">
              <w:rPr>
                <w:rFonts w:asciiTheme="majorHAnsi" w:eastAsia="Times New Roman" w:hAnsiTheme="majorHAnsi" w:cstheme="majorHAnsi"/>
                <w:color w:val="000000"/>
                <w:sz w:val="14"/>
                <w:szCs w:val="16"/>
                <w:lang w:val="en-GB" w:eastAsia="en-GB"/>
              </w:rPr>
              <w:t>ond</w:t>
            </w:r>
            <w:r w:rsidRPr="00A42B3C">
              <w:rPr>
                <w:rFonts w:asciiTheme="majorHAnsi" w:eastAsia="Times New Roman" w:hAnsiTheme="majorHAnsi" w:cstheme="majorHAnsi"/>
                <w:color w:val="000000"/>
                <w:sz w:val="14"/>
                <w:szCs w:val="16"/>
                <w:lang w:val="en-GB" w:eastAsia="en-GB"/>
              </w:rPr>
              <w:t xml:space="preserve"> structures (and the underlying assets) vs the direct use of the underlying assets should not be overly penalized as there is no rating requirement in the directive for the directly used assets in a cover pool.  </w:t>
            </w:r>
          </w:p>
        </w:tc>
        <w:tc>
          <w:tcPr>
            <w:tcW w:w="850" w:type="dxa"/>
            <w:vMerge w:val="restart"/>
            <w:shd w:val="clear" w:color="auto" w:fill="auto"/>
            <w:vAlign w:val="center"/>
          </w:tcPr>
          <w:p w:rsidR="00551893" w:rsidRPr="00A42B3C" w:rsidRDefault="00551893"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high</w:t>
            </w:r>
          </w:p>
        </w:tc>
        <w:tc>
          <w:tcPr>
            <w:tcW w:w="4825" w:type="dxa"/>
            <w:shd w:val="clear" w:color="auto" w:fill="auto"/>
            <w:vAlign w:val="center"/>
          </w:tcPr>
          <w:p w:rsidR="00551893" w:rsidRPr="00A42B3C" w:rsidRDefault="00551893"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(d) both the internally and the externally issued covered bonds qualify for credit quality step 1 or 2 as referred to in Part Three, Title II, Chapter 2 of Regulation (EU) No 575/2013 and are collateralised by assets in accordance with Article 6 of this Directive.</w:t>
            </w:r>
          </w:p>
        </w:tc>
        <w:tc>
          <w:tcPr>
            <w:tcW w:w="709" w:type="dxa"/>
          </w:tcPr>
          <w:p w:rsidR="00551893" w:rsidRPr="00A42B3C" w:rsidRDefault="00551893" w:rsidP="00250941">
            <w:pPr>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EU</w:t>
            </w:r>
          </w:p>
        </w:tc>
      </w:tr>
      <w:tr w:rsidR="00551893" w:rsidRPr="000261CA" w:rsidTr="00551893">
        <w:trPr>
          <w:trHeight w:val="475"/>
        </w:trPr>
        <w:tc>
          <w:tcPr>
            <w:tcW w:w="846" w:type="dxa"/>
            <w:vMerge/>
            <w:vAlign w:val="center"/>
          </w:tcPr>
          <w:p w:rsidR="00551893" w:rsidRPr="00A42B3C" w:rsidRDefault="00551893" w:rsidP="000B7E74">
            <w:pPr>
              <w:jc w:val="both"/>
              <w:rPr>
                <w:rFonts w:asciiTheme="majorHAnsi" w:eastAsia="Times New Roman" w:hAnsiTheme="majorHAnsi" w:cstheme="majorHAnsi"/>
                <w:color w:val="000000"/>
                <w:sz w:val="14"/>
                <w:szCs w:val="16"/>
                <w:lang w:val="en-GB" w:eastAsia="en-GB"/>
              </w:rPr>
            </w:pPr>
          </w:p>
        </w:tc>
        <w:tc>
          <w:tcPr>
            <w:tcW w:w="850" w:type="dxa"/>
            <w:vMerge/>
            <w:shd w:val="clear" w:color="auto" w:fill="auto"/>
            <w:vAlign w:val="center"/>
          </w:tcPr>
          <w:p w:rsidR="00551893" w:rsidRPr="00A42B3C" w:rsidRDefault="00551893" w:rsidP="000B7E74">
            <w:pPr>
              <w:jc w:val="both"/>
              <w:rPr>
                <w:rFonts w:asciiTheme="majorHAnsi" w:eastAsia="Times New Roman" w:hAnsiTheme="majorHAnsi" w:cstheme="majorHAnsi"/>
                <w:color w:val="000000"/>
                <w:sz w:val="14"/>
                <w:szCs w:val="16"/>
                <w:lang w:val="en-GB" w:eastAsia="en-GB"/>
              </w:rPr>
            </w:pPr>
          </w:p>
        </w:tc>
        <w:tc>
          <w:tcPr>
            <w:tcW w:w="3686" w:type="dxa"/>
            <w:shd w:val="clear" w:color="auto" w:fill="auto"/>
            <w:vAlign w:val="center"/>
          </w:tcPr>
          <w:p w:rsidR="00551893" w:rsidRPr="00A42B3C" w:rsidRDefault="00551893"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1. Subject to the provisions in paragraph 2, Member States shall allow the use of loans collateralised by residential or commercial property mortgages, charges, liens or other comparable security rights granted by a credit institution as assets in the cover pool for the issue of covered bonds by another credit institution.</w:t>
            </w:r>
          </w:p>
        </w:tc>
        <w:tc>
          <w:tcPr>
            <w:tcW w:w="1559" w:type="dxa"/>
            <w:shd w:val="clear" w:color="auto" w:fill="auto"/>
            <w:vAlign w:val="center"/>
          </w:tcPr>
          <w:p w:rsidR="00551893" w:rsidRPr="00A42B3C" w:rsidRDefault="00551893"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 xml:space="preserve">Joint funding should be allowed not only for the use of loans collateralised by residential or commercial property mortgages, charges, liens or other comparable security rights but for all eligible assets defined in Article 6 of this directive.  </w:t>
            </w:r>
          </w:p>
        </w:tc>
        <w:tc>
          <w:tcPr>
            <w:tcW w:w="2552" w:type="dxa"/>
            <w:shd w:val="clear" w:color="auto" w:fill="auto"/>
            <w:vAlign w:val="center"/>
          </w:tcPr>
          <w:p w:rsidR="00551893" w:rsidRPr="00A42B3C" w:rsidRDefault="00551893"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Discrimination of eligible assets defined in Article 6 other than residential or commercial property mortgages should be avoided. This includes the use of covered bonds issued by other credit institutions as collateral for the cover pool.</w:t>
            </w:r>
          </w:p>
        </w:tc>
        <w:tc>
          <w:tcPr>
            <w:tcW w:w="850" w:type="dxa"/>
            <w:vMerge/>
            <w:shd w:val="clear" w:color="auto" w:fill="auto"/>
            <w:vAlign w:val="center"/>
          </w:tcPr>
          <w:p w:rsidR="00551893" w:rsidRPr="00A42B3C" w:rsidRDefault="00551893" w:rsidP="000B7E74">
            <w:pPr>
              <w:jc w:val="both"/>
              <w:rPr>
                <w:rFonts w:asciiTheme="majorHAnsi" w:eastAsia="Times New Roman" w:hAnsiTheme="majorHAnsi" w:cstheme="majorHAnsi"/>
                <w:color w:val="000000"/>
                <w:sz w:val="14"/>
                <w:szCs w:val="16"/>
                <w:lang w:val="en-GB" w:eastAsia="en-GB"/>
              </w:rPr>
            </w:pPr>
          </w:p>
        </w:tc>
        <w:tc>
          <w:tcPr>
            <w:tcW w:w="4825" w:type="dxa"/>
            <w:shd w:val="clear" w:color="auto" w:fill="auto"/>
            <w:vAlign w:val="center"/>
          </w:tcPr>
          <w:p w:rsidR="00551893" w:rsidRPr="00A42B3C" w:rsidRDefault="00551893" w:rsidP="000B7E74">
            <w:pPr>
              <w:jc w:val="both"/>
              <w:rPr>
                <w:rFonts w:asciiTheme="majorHAnsi" w:eastAsia="Times New Roman" w:hAnsiTheme="majorHAnsi" w:cstheme="majorHAnsi"/>
                <w:color w:val="000000"/>
                <w:sz w:val="14"/>
                <w:szCs w:val="16"/>
                <w:lang w:val="en-GB" w:eastAsia="en-GB"/>
              </w:rPr>
            </w:pPr>
            <w:r w:rsidRPr="00A42B3C">
              <w:rPr>
                <w:rFonts w:asciiTheme="majorHAnsi" w:eastAsia="Times New Roman" w:hAnsiTheme="majorHAnsi" w:cstheme="majorHAnsi"/>
                <w:color w:val="000000"/>
                <w:sz w:val="14"/>
                <w:szCs w:val="16"/>
                <w:lang w:val="en-GB" w:eastAsia="en-GB"/>
              </w:rPr>
              <w:t>1. Subject to the provisions in paragraph 2, Member States shall allow the use of loans collateralised by assets in accordance with Article 6 of this Directive granted by a credit institution as assets in the cover pool for the issue of covered bonds by another credit institution. For the avoidance of doubt, this includes covered bonds issued by other credit institutions.</w:t>
            </w:r>
          </w:p>
        </w:tc>
        <w:tc>
          <w:tcPr>
            <w:tcW w:w="709" w:type="dxa"/>
          </w:tcPr>
          <w:p w:rsidR="00551893" w:rsidRPr="00A42B3C" w:rsidRDefault="00551893" w:rsidP="00250941">
            <w:pPr>
              <w:rPr>
                <w:rFonts w:asciiTheme="majorHAnsi" w:eastAsia="Times New Roman" w:hAnsiTheme="majorHAnsi" w:cstheme="majorHAnsi"/>
                <w:color w:val="000000"/>
                <w:sz w:val="14"/>
                <w:szCs w:val="16"/>
                <w:lang w:val="en-GB" w:eastAsia="en-GB"/>
              </w:rPr>
            </w:pPr>
          </w:p>
        </w:tc>
      </w:tr>
    </w:tbl>
    <w:p w:rsidR="00724E0B" w:rsidRPr="00A42B3C" w:rsidRDefault="00724E0B">
      <w:pPr>
        <w:rPr>
          <w:rFonts w:asciiTheme="majorHAnsi" w:hAnsiTheme="majorHAnsi" w:cstheme="majorHAnsi"/>
          <w:i/>
          <w:color w:val="DE8400"/>
          <w:sz w:val="12"/>
          <w:szCs w:val="12"/>
          <w:lang w:val="en-GB"/>
        </w:rPr>
      </w:pPr>
    </w:p>
    <w:p w:rsidR="00250941" w:rsidRPr="00A42B3C" w:rsidRDefault="00250941">
      <w:pPr>
        <w:rPr>
          <w:rFonts w:asciiTheme="majorHAnsi" w:hAnsiTheme="majorHAnsi" w:cstheme="majorHAnsi"/>
          <w:i/>
          <w:color w:val="DE8400"/>
          <w:sz w:val="12"/>
          <w:szCs w:val="12"/>
          <w:lang w:val="en-GB"/>
        </w:rPr>
      </w:pPr>
    </w:p>
    <w:p w:rsidR="00250941" w:rsidRPr="00A42B3C" w:rsidRDefault="004A3071">
      <w:pPr>
        <w:rPr>
          <w:rFonts w:asciiTheme="majorHAnsi" w:hAnsiTheme="majorHAnsi" w:cstheme="majorHAnsi"/>
          <w:i/>
          <w:color w:val="DE8400"/>
          <w:sz w:val="12"/>
          <w:szCs w:val="12"/>
          <w:lang w:val="en-GB"/>
        </w:rPr>
      </w:pPr>
      <w:r w:rsidRPr="00A42B3C">
        <w:rPr>
          <w:noProof/>
          <w:lang w:val="en-GB"/>
        </w:rPr>
        <mc:AlternateContent>
          <mc:Choice Requires="wps">
            <w:drawing>
              <wp:anchor distT="0" distB="0" distL="114300" distR="114300" simplePos="0" relativeHeight="251673600" behindDoc="0" locked="0" layoutInCell="1" allowOverlap="1" wp14:anchorId="7F1061AA" wp14:editId="327FBC48">
                <wp:simplePos x="0" y="0"/>
                <wp:positionH relativeFrom="margin">
                  <wp:posOffset>-323850</wp:posOffset>
                </wp:positionH>
                <wp:positionV relativeFrom="paragraph">
                  <wp:posOffset>95250</wp:posOffset>
                </wp:positionV>
                <wp:extent cx="1784350" cy="294640"/>
                <wp:effectExtent l="0" t="0" r="6350" b="0"/>
                <wp:wrapNone/>
                <wp:docPr id="23" name="Text Box 23"/>
                <wp:cNvGraphicFramePr/>
                <a:graphic xmlns:a="http://schemas.openxmlformats.org/drawingml/2006/main">
                  <a:graphicData uri="http://schemas.microsoft.com/office/word/2010/wordprocessingShape">
                    <wps:wsp>
                      <wps:cNvSpPr txBox="1"/>
                      <wps:spPr>
                        <a:xfrm>
                          <a:off x="0" y="0"/>
                          <a:ext cx="1784350" cy="294640"/>
                        </a:xfrm>
                        <a:prstGeom prst="rect">
                          <a:avLst/>
                        </a:prstGeom>
                        <a:solidFill>
                          <a:schemeClr val="lt1"/>
                        </a:solidFill>
                        <a:ln w="6350">
                          <a:noFill/>
                        </a:ln>
                      </wps:spPr>
                      <wps:txbx>
                        <w:txbxContent>
                          <w:p w:rsidR="002F6214" w:rsidRPr="00E56D45" w:rsidRDefault="002F6214" w:rsidP="004A3071">
                            <w:pPr>
                              <w:rPr>
                                <w:sz w:val="18"/>
                                <w:szCs w:val="18"/>
                              </w:rPr>
                            </w:pPr>
                            <w:r w:rsidRPr="00386DCA">
                              <w:rPr>
                                <w:rFonts w:asciiTheme="majorHAnsi" w:hAnsiTheme="majorHAnsi" w:cstheme="majorHAnsi"/>
                                <w:i/>
                                <w:sz w:val="20"/>
                                <w:lang w:val="en-GB"/>
                              </w:rPr>
                              <w:t>Source: ABBL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061AA" id="Text Box 23" o:spid="_x0000_s1027" type="#_x0000_t202" style="position:absolute;margin-left:-25.5pt;margin-top:7.5pt;width:140.5pt;height:23.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" fillcolor="white [3201]" stroked="f" strokeweight=".5pt">
                <v:textbox>
                  <w:txbxContent>
                    <w:p w:rsidR="002F6214" w:rsidRPr="00E56D45" w:rsidRDefault="002F6214" w:rsidP="004A3071">
                      <w:pPr>
                        <w:rPr>
                          <w:sz w:val="18"/>
                          <w:szCs w:val="18"/>
                        </w:rPr>
                      </w:pPr>
                      <w:r w:rsidRPr="00386DCA">
                        <w:rPr>
                          <w:rFonts w:asciiTheme="majorHAnsi" w:hAnsiTheme="majorHAnsi" w:cstheme="majorHAnsi"/>
                          <w:i/>
                          <w:sz w:val="20"/>
                          <w:lang w:val="en-GB"/>
                        </w:rPr>
                        <w:t>Source: ABBL</w:t>
                      </w:r>
                    </w:p>
                  </w:txbxContent>
                </v:textbox>
                <w10:wrap anchorx="margin"/>
              </v:shape>
            </w:pict>
          </mc:Fallback>
        </mc:AlternateContent>
      </w:r>
    </w:p>
    <w:p w:rsidR="000B7E74" w:rsidRPr="00A42B3C" w:rsidRDefault="000B7E74">
      <w:pPr>
        <w:rPr>
          <w:rFonts w:asciiTheme="majorHAnsi" w:hAnsiTheme="majorHAnsi" w:cstheme="majorHAnsi"/>
          <w:i/>
          <w:color w:val="DE8400"/>
          <w:sz w:val="12"/>
          <w:szCs w:val="12"/>
          <w:lang w:val="en-GB"/>
        </w:rPr>
      </w:pPr>
    </w:p>
    <w:p w:rsidR="000B7E74" w:rsidRPr="00A42B3C" w:rsidRDefault="000B7E74">
      <w:pPr>
        <w:rPr>
          <w:rFonts w:asciiTheme="majorHAnsi" w:hAnsiTheme="majorHAnsi" w:cstheme="majorHAnsi"/>
          <w:i/>
          <w:color w:val="DE8400"/>
          <w:sz w:val="12"/>
          <w:szCs w:val="12"/>
          <w:lang w:val="en-GB"/>
        </w:rPr>
      </w:pPr>
    </w:p>
    <w:p w:rsidR="000B7E74" w:rsidRPr="00A42B3C" w:rsidRDefault="000B7E74">
      <w:pPr>
        <w:rPr>
          <w:rFonts w:asciiTheme="majorHAnsi" w:hAnsiTheme="majorHAnsi" w:cstheme="majorHAnsi"/>
          <w:i/>
          <w:color w:val="DE8400"/>
          <w:sz w:val="12"/>
          <w:szCs w:val="12"/>
          <w:lang w:val="en-GB"/>
        </w:rPr>
      </w:pPr>
    </w:p>
    <w:p w:rsidR="00250941" w:rsidRPr="00A42B3C" w:rsidRDefault="00250941">
      <w:pPr>
        <w:rPr>
          <w:rFonts w:asciiTheme="majorHAnsi" w:hAnsiTheme="majorHAnsi" w:cstheme="majorHAnsi"/>
          <w:i/>
          <w:color w:val="DE8400"/>
          <w:sz w:val="12"/>
          <w:szCs w:val="12"/>
          <w:lang w:val="en-GB"/>
        </w:rPr>
      </w:pPr>
    </w:p>
    <w:p w:rsidR="004A1B31" w:rsidRPr="00A42B3C" w:rsidRDefault="00724E0B" w:rsidP="00BD0D33">
      <w:pPr>
        <w:pStyle w:val="Heading1"/>
      </w:pPr>
      <w:bookmarkStart w:id="17" w:name="_The_Netherlands"/>
      <w:bookmarkEnd w:id="17"/>
      <w:r w:rsidRPr="00A42B3C">
        <w:t>The Netherlands</w:t>
      </w:r>
    </w:p>
    <w:p w:rsidR="00724E0B" w:rsidRPr="00A42B3C" w:rsidRDefault="00724E0B" w:rsidP="00724E0B">
      <w:pPr>
        <w:rPr>
          <w:rFonts w:asciiTheme="majorHAnsi" w:hAnsiTheme="majorHAnsi" w:cstheme="majorHAnsi"/>
          <w:b/>
          <w:color w:val="DE8400"/>
          <w:sz w:val="8"/>
          <w:szCs w:val="8"/>
          <w:lang w:val="en-GB"/>
        </w:rPr>
      </w:pPr>
    </w:p>
    <w:tbl>
      <w:tblPr>
        <w:tblpPr w:leftFromText="180" w:rightFromText="180" w:vertAnchor="text" w:horzAnchor="margin" w:tblpX="-998" w:tblpY="80"/>
        <w:tblW w:w="15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50"/>
        <w:gridCol w:w="2558"/>
        <w:gridCol w:w="2976"/>
        <w:gridCol w:w="3969"/>
        <w:gridCol w:w="1701"/>
        <w:gridCol w:w="1757"/>
        <w:gridCol w:w="712"/>
      </w:tblGrid>
      <w:tr w:rsidR="00250941" w:rsidRPr="00A42B3C" w:rsidTr="00250941">
        <w:trPr>
          <w:trHeight w:val="426"/>
        </w:trPr>
        <w:tc>
          <w:tcPr>
            <w:tcW w:w="846" w:type="dxa"/>
            <w:shd w:val="clear" w:color="auto" w:fill="DE821B"/>
          </w:tcPr>
          <w:p w:rsidR="001A3F26" w:rsidRPr="00A42B3C" w:rsidRDefault="001A3F26" w:rsidP="00250941">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Ranking of priority</w:t>
            </w:r>
          </w:p>
        </w:tc>
        <w:tc>
          <w:tcPr>
            <w:tcW w:w="850" w:type="dxa"/>
            <w:shd w:val="clear" w:color="auto" w:fill="DE821B"/>
            <w:vAlign w:val="center"/>
            <w:hideMark/>
          </w:tcPr>
          <w:p w:rsidR="001A3F26" w:rsidRPr="00A42B3C" w:rsidRDefault="001A3F26" w:rsidP="00250941">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Location</w:t>
            </w:r>
          </w:p>
        </w:tc>
        <w:tc>
          <w:tcPr>
            <w:tcW w:w="2558" w:type="dxa"/>
            <w:shd w:val="clear" w:color="auto" w:fill="DE821B"/>
            <w:vAlign w:val="center"/>
            <w:hideMark/>
          </w:tcPr>
          <w:p w:rsidR="001A3F26" w:rsidRPr="00A42B3C" w:rsidRDefault="001A3F26" w:rsidP="00250941">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Precise passage concerned</w:t>
            </w:r>
          </w:p>
        </w:tc>
        <w:tc>
          <w:tcPr>
            <w:tcW w:w="2976" w:type="dxa"/>
            <w:shd w:val="clear" w:color="auto" w:fill="DE821B"/>
            <w:vAlign w:val="center"/>
            <w:hideMark/>
          </w:tcPr>
          <w:p w:rsidR="001A3F26" w:rsidRPr="00A42B3C" w:rsidRDefault="001A3F26" w:rsidP="00250941">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Description of the Issue</w:t>
            </w:r>
          </w:p>
        </w:tc>
        <w:tc>
          <w:tcPr>
            <w:tcW w:w="3969" w:type="dxa"/>
            <w:shd w:val="clear" w:color="auto" w:fill="DE821B"/>
            <w:vAlign w:val="center"/>
            <w:hideMark/>
          </w:tcPr>
          <w:p w:rsidR="001A3F26" w:rsidRPr="00A42B3C" w:rsidRDefault="001A3F26" w:rsidP="00250941">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Justification for potential amendment</w:t>
            </w:r>
          </w:p>
        </w:tc>
        <w:tc>
          <w:tcPr>
            <w:tcW w:w="1701" w:type="dxa"/>
            <w:shd w:val="clear" w:color="auto" w:fill="DE821B"/>
            <w:vAlign w:val="center"/>
            <w:hideMark/>
          </w:tcPr>
          <w:p w:rsidR="001A3F26" w:rsidRPr="00A42B3C" w:rsidRDefault="001A3F26" w:rsidP="00250941">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Level of seriousness</w:t>
            </w:r>
          </w:p>
        </w:tc>
        <w:tc>
          <w:tcPr>
            <w:tcW w:w="1757" w:type="dxa"/>
            <w:shd w:val="clear" w:color="auto" w:fill="DE821B"/>
            <w:vAlign w:val="center"/>
            <w:hideMark/>
          </w:tcPr>
          <w:p w:rsidR="001A3F26" w:rsidRPr="00A42B3C" w:rsidRDefault="001A3F26" w:rsidP="00250941">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Proposal for a wording update</w:t>
            </w:r>
          </w:p>
        </w:tc>
        <w:tc>
          <w:tcPr>
            <w:tcW w:w="712" w:type="dxa"/>
            <w:shd w:val="clear" w:color="auto" w:fill="DE821B"/>
            <w:vAlign w:val="center"/>
          </w:tcPr>
          <w:p w:rsidR="001A3F26" w:rsidRPr="00A42B3C" w:rsidRDefault="001A3F26" w:rsidP="00250941">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Scope</w:t>
            </w:r>
          </w:p>
        </w:tc>
      </w:tr>
      <w:tr w:rsidR="00250941" w:rsidRPr="00A42B3C" w:rsidTr="00250941">
        <w:trPr>
          <w:trHeight w:val="426"/>
        </w:trPr>
        <w:tc>
          <w:tcPr>
            <w:tcW w:w="846" w:type="dxa"/>
            <w:vAlign w:val="center"/>
          </w:tcPr>
          <w:p w:rsidR="001A3F26" w:rsidRPr="00A42B3C" w:rsidRDefault="001A3F26" w:rsidP="000B7E74">
            <w:pPr>
              <w:jc w:val="both"/>
              <w:rPr>
                <w:rFonts w:asciiTheme="majorHAnsi" w:eastAsia="Times New Roman" w:hAnsiTheme="majorHAnsi" w:cstheme="majorHAnsi"/>
                <w:color w:val="000000"/>
                <w:sz w:val="14"/>
                <w:szCs w:val="14"/>
                <w:lang w:val="en-GB" w:eastAsia="en-GB"/>
              </w:rPr>
            </w:pPr>
            <w:r w:rsidRPr="00A42B3C">
              <w:rPr>
                <w:rFonts w:asciiTheme="majorHAnsi" w:eastAsia="Times New Roman" w:hAnsiTheme="majorHAnsi" w:cstheme="majorHAnsi"/>
                <w:color w:val="000000"/>
                <w:sz w:val="14"/>
                <w:szCs w:val="14"/>
                <w:lang w:val="en-GB" w:eastAsia="en-GB"/>
              </w:rPr>
              <w:t>1</w:t>
            </w:r>
          </w:p>
        </w:tc>
        <w:tc>
          <w:tcPr>
            <w:tcW w:w="850" w:type="dxa"/>
            <w:shd w:val="clear" w:color="auto" w:fill="auto"/>
            <w:vAlign w:val="center"/>
          </w:tcPr>
          <w:p w:rsidR="001A3F26" w:rsidRPr="00A42B3C" w:rsidRDefault="001A3F26" w:rsidP="000B7E74">
            <w:pPr>
              <w:jc w:val="both"/>
              <w:rPr>
                <w:rFonts w:asciiTheme="majorHAnsi" w:eastAsia="Times New Roman" w:hAnsiTheme="majorHAnsi" w:cstheme="majorHAnsi"/>
                <w:color w:val="000000"/>
                <w:sz w:val="14"/>
                <w:szCs w:val="14"/>
                <w:lang w:val="en-GB" w:eastAsia="en-GB"/>
              </w:rPr>
            </w:pPr>
            <w:r w:rsidRPr="00A42B3C">
              <w:rPr>
                <w:rFonts w:asciiTheme="majorHAnsi" w:eastAsia="Times New Roman" w:hAnsiTheme="majorHAnsi" w:cstheme="majorHAnsi"/>
                <w:color w:val="000000"/>
                <w:sz w:val="14"/>
                <w:szCs w:val="14"/>
                <w:lang w:val="en-GB" w:eastAsia="en-GB"/>
              </w:rPr>
              <w:t>Regulation &amp; Directive</w:t>
            </w:r>
          </w:p>
        </w:tc>
        <w:tc>
          <w:tcPr>
            <w:tcW w:w="2558" w:type="dxa"/>
            <w:shd w:val="clear" w:color="auto" w:fill="auto"/>
            <w:vAlign w:val="center"/>
          </w:tcPr>
          <w:p w:rsidR="001A3F26" w:rsidRPr="00A42B3C" w:rsidRDefault="001A3F26" w:rsidP="000B7E74">
            <w:pPr>
              <w:jc w:val="both"/>
              <w:rPr>
                <w:rFonts w:asciiTheme="majorHAnsi" w:eastAsia="Times New Roman" w:hAnsiTheme="majorHAnsi" w:cstheme="majorHAnsi"/>
                <w:color w:val="000000"/>
                <w:sz w:val="14"/>
                <w:szCs w:val="14"/>
                <w:lang w:val="en-GB" w:eastAsia="en-GB"/>
              </w:rPr>
            </w:pPr>
            <w:r w:rsidRPr="00A42B3C">
              <w:rPr>
                <w:rFonts w:asciiTheme="majorHAnsi" w:eastAsia="Times New Roman" w:hAnsiTheme="majorHAnsi" w:cstheme="majorHAnsi"/>
                <w:color w:val="000000"/>
                <w:sz w:val="14"/>
                <w:szCs w:val="14"/>
                <w:lang w:val="en-GB" w:eastAsia="en-GB"/>
              </w:rPr>
              <w:t>Amendment 4 (Regulation) and Amendment 7 (Directive)</w:t>
            </w:r>
          </w:p>
        </w:tc>
        <w:tc>
          <w:tcPr>
            <w:tcW w:w="2976" w:type="dxa"/>
            <w:shd w:val="clear" w:color="auto" w:fill="auto"/>
            <w:vAlign w:val="center"/>
          </w:tcPr>
          <w:p w:rsidR="001A3F26" w:rsidRPr="00A42B3C" w:rsidRDefault="001A3F26" w:rsidP="000B7E74">
            <w:pPr>
              <w:jc w:val="both"/>
              <w:rPr>
                <w:rFonts w:asciiTheme="majorHAnsi" w:eastAsia="Times New Roman" w:hAnsiTheme="majorHAnsi" w:cstheme="majorHAnsi"/>
                <w:color w:val="000000"/>
                <w:sz w:val="14"/>
                <w:szCs w:val="14"/>
                <w:lang w:val="en-GB" w:eastAsia="en-GB"/>
              </w:rPr>
            </w:pPr>
            <w:r w:rsidRPr="00A42B3C">
              <w:rPr>
                <w:rFonts w:asciiTheme="majorHAnsi" w:eastAsia="Times New Roman" w:hAnsiTheme="majorHAnsi" w:cstheme="majorHAnsi"/>
                <w:color w:val="000000"/>
                <w:sz w:val="14"/>
                <w:szCs w:val="14"/>
                <w:lang w:val="en-GB" w:eastAsia="en-GB"/>
              </w:rPr>
              <w:t>Increased risk weighting for CB with extendable maturities</w:t>
            </w:r>
          </w:p>
        </w:tc>
        <w:tc>
          <w:tcPr>
            <w:tcW w:w="3969" w:type="dxa"/>
            <w:shd w:val="clear" w:color="auto" w:fill="auto"/>
            <w:vAlign w:val="center"/>
          </w:tcPr>
          <w:p w:rsidR="001A3F26" w:rsidRPr="00A42B3C" w:rsidRDefault="001A3F26" w:rsidP="000B7E74">
            <w:pPr>
              <w:jc w:val="both"/>
              <w:rPr>
                <w:rFonts w:asciiTheme="majorHAnsi" w:eastAsia="Times New Roman" w:hAnsiTheme="majorHAnsi" w:cstheme="majorHAnsi"/>
                <w:color w:val="000000"/>
                <w:sz w:val="14"/>
                <w:szCs w:val="14"/>
                <w:lang w:val="en-GB" w:eastAsia="en-GB"/>
              </w:rPr>
            </w:pPr>
            <w:r w:rsidRPr="00A42B3C">
              <w:rPr>
                <w:rFonts w:asciiTheme="majorHAnsi" w:eastAsia="Times New Roman" w:hAnsiTheme="majorHAnsi" w:cstheme="majorHAnsi"/>
                <w:color w:val="000000"/>
                <w:sz w:val="14"/>
                <w:szCs w:val="14"/>
                <w:lang w:val="en-GB" w:eastAsia="en-GB"/>
              </w:rPr>
              <w:t>The EBA, the EC and the EP in its own initiative report never mentioned this topic. Further to this the proposed amendments show a lack of understanding of how CPT structures actually work. Lastly the ECON proposal is not based on a proper analysis and therefor unsubstantiated. For more we refer to the policy paper of the DACB.</w:t>
            </w:r>
          </w:p>
        </w:tc>
        <w:tc>
          <w:tcPr>
            <w:tcW w:w="1701" w:type="dxa"/>
            <w:shd w:val="clear" w:color="auto" w:fill="auto"/>
            <w:vAlign w:val="center"/>
          </w:tcPr>
          <w:p w:rsidR="001A3F26" w:rsidRPr="00A42B3C" w:rsidRDefault="001A3F26" w:rsidP="000B7E74">
            <w:pPr>
              <w:jc w:val="both"/>
              <w:rPr>
                <w:rFonts w:asciiTheme="majorHAnsi" w:eastAsia="Times New Roman" w:hAnsiTheme="majorHAnsi" w:cstheme="majorHAnsi"/>
                <w:color w:val="000000"/>
                <w:sz w:val="14"/>
                <w:szCs w:val="14"/>
                <w:lang w:val="en-GB" w:eastAsia="en-GB"/>
              </w:rPr>
            </w:pPr>
            <w:r w:rsidRPr="00A42B3C">
              <w:rPr>
                <w:rFonts w:asciiTheme="majorHAnsi" w:eastAsia="Times New Roman" w:hAnsiTheme="majorHAnsi" w:cstheme="majorHAnsi"/>
                <w:color w:val="000000"/>
                <w:sz w:val="14"/>
                <w:szCs w:val="14"/>
                <w:lang w:val="en-GB" w:eastAsia="en-GB"/>
              </w:rPr>
              <w:t>High</w:t>
            </w:r>
          </w:p>
        </w:tc>
        <w:tc>
          <w:tcPr>
            <w:tcW w:w="1757" w:type="dxa"/>
            <w:shd w:val="clear" w:color="auto" w:fill="auto"/>
            <w:vAlign w:val="center"/>
          </w:tcPr>
          <w:p w:rsidR="001A3F26" w:rsidRPr="00A42B3C" w:rsidRDefault="001A3F26" w:rsidP="000B7E74">
            <w:pPr>
              <w:jc w:val="both"/>
              <w:rPr>
                <w:rFonts w:asciiTheme="majorHAnsi" w:eastAsia="Times New Roman" w:hAnsiTheme="majorHAnsi" w:cstheme="majorHAnsi"/>
                <w:color w:val="000000"/>
                <w:sz w:val="14"/>
                <w:szCs w:val="14"/>
                <w:lang w:val="en-GB" w:eastAsia="en-GB"/>
              </w:rPr>
            </w:pPr>
            <w:r w:rsidRPr="00A42B3C">
              <w:rPr>
                <w:rFonts w:asciiTheme="majorHAnsi" w:eastAsia="Times New Roman" w:hAnsiTheme="majorHAnsi" w:cstheme="majorHAnsi"/>
                <w:color w:val="000000"/>
                <w:sz w:val="14"/>
                <w:szCs w:val="14"/>
                <w:lang w:val="en-GB" w:eastAsia="en-GB"/>
              </w:rPr>
              <w:t>The amendments should be deleted.</w:t>
            </w:r>
          </w:p>
          <w:p w:rsidR="001A3F26" w:rsidRPr="00A42B3C" w:rsidRDefault="001A3F26" w:rsidP="000B7E74">
            <w:pPr>
              <w:jc w:val="both"/>
              <w:rPr>
                <w:rFonts w:asciiTheme="majorHAnsi" w:eastAsia="Times New Roman" w:hAnsiTheme="majorHAnsi" w:cstheme="majorHAnsi"/>
                <w:color w:val="000000"/>
                <w:sz w:val="14"/>
                <w:szCs w:val="14"/>
                <w:lang w:val="en-GB" w:eastAsia="en-GB"/>
              </w:rPr>
            </w:pPr>
          </w:p>
        </w:tc>
        <w:tc>
          <w:tcPr>
            <w:tcW w:w="712" w:type="dxa"/>
          </w:tcPr>
          <w:p w:rsidR="001A3F26" w:rsidRPr="00A42B3C" w:rsidRDefault="001A3F26" w:rsidP="000B7E74">
            <w:pPr>
              <w:jc w:val="both"/>
              <w:rPr>
                <w:rFonts w:asciiTheme="majorHAnsi" w:eastAsia="Times New Roman" w:hAnsiTheme="majorHAnsi" w:cstheme="majorHAnsi"/>
                <w:color w:val="000000"/>
                <w:sz w:val="14"/>
                <w:szCs w:val="14"/>
                <w:lang w:val="en-GB" w:eastAsia="en-GB"/>
              </w:rPr>
            </w:pPr>
            <w:r w:rsidRPr="00A42B3C">
              <w:rPr>
                <w:rFonts w:asciiTheme="majorHAnsi" w:eastAsia="Times New Roman" w:hAnsiTheme="majorHAnsi" w:cstheme="majorHAnsi"/>
                <w:color w:val="000000"/>
                <w:sz w:val="14"/>
                <w:szCs w:val="14"/>
                <w:lang w:val="en-GB" w:eastAsia="en-GB"/>
              </w:rPr>
              <w:t>EU</w:t>
            </w:r>
          </w:p>
        </w:tc>
      </w:tr>
      <w:tr w:rsidR="00250941" w:rsidRPr="00A42B3C" w:rsidTr="00250941">
        <w:trPr>
          <w:trHeight w:val="712"/>
        </w:trPr>
        <w:tc>
          <w:tcPr>
            <w:tcW w:w="846" w:type="dxa"/>
            <w:vAlign w:val="center"/>
          </w:tcPr>
          <w:p w:rsidR="001A3F26" w:rsidRPr="00A42B3C" w:rsidRDefault="001A3F26" w:rsidP="000B7E74">
            <w:pPr>
              <w:jc w:val="both"/>
              <w:rPr>
                <w:rFonts w:asciiTheme="majorHAnsi" w:eastAsia="Times New Roman" w:hAnsiTheme="majorHAnsi" w:cstheme="majorHAnsi"/>
                <w:color w:val="000000"/>
                <w:sz w:val="14"/>
                <w:szCs w:val="14"/>
                <w:lang w:val="en-GB" w:eastAsia="en-GB"/>
              </w:rPr>
            </w:pPr>
            <w:r w:rsidRPr="00A42B3C">
              <w:rPr>
                <w:rFonts w:asciiTheme="majorHAnsi" w:eastAsia="Times New Roman" w:hAnsiTheme="majorHAnsi" w:cstheme="majorHAnsi"/>
                <w:color w:val="000000"/>
                <w:sz w:val="14"/>
                <w:szCs w:val="14"/>
                <w:lang w:val="en-GB" w:eastAsia="en-GB"/>
              </w:rPr>
              <w:t>2</w:t>
            </w:r>
          </w:p>
        </w:tc>
        <w:tc>
          <w:tcPr>
            <w:tcW w:w="850" w:type="dxa"/>
            <w:shd w:val="clear" w:color="auto" w:fill="auto"/>
            <w:vAlign w:val="center"/>
          </w:tcPr>
          <w:p w:rsidR="001A3F26" w:rsidRPr="00A42B3C" w:rsidRDefault="001A3F26" w:rsidP="000B7E74">
            <w:pPr>
              <w:jc w:val="both"/>
              <w:rPr>
                <w:rFonts w:asciiTheme="majorHAnsi" w:eastAsia="Times New Roman" w:hAnsiTheme="majorHAnsi" w:cstheme="majorHAnsi"/>
                <w:color w:val="000000"/>
                <w:sz w:val="14"/>
                <w:szCs w:val="14"/>
                <w:lang w:val="en-GB" w:eastAsia="en-GB"/>
              </w:rPr>
            </w:pPr>
            <w:r w:rsidRPr="00A42B3C">
              <w:rPr>
                <w:rFonts w:asciiTheme="majorHAnsi" w:eastAsia="Times New Roman" w:hAnsiTheme="majorHAnsi" w:cstheme="majorHAnsi"/>
                <w:color w:val="000000"/>
                <w:sz w:val="14"/>
                <w:szCs w:val="14"/>
                <w:lang w:val="en-GB" w:eastAsia="en-GB"/>
              </w:rPr>
              <w:t>Directive</w:t>
            </w:r>
          </w:p>
        </w:tc>
        <w:tc>
          <w:tcPr>
            <w:tcW w:w="2558" w:type="dxa"/>
            <w:shd w:val="clear" w:color="auto" w:fill="auto"/>
            <w:vAlign w:val="center"/>
          </w:tcPr>
          <w:p w:rsidR="001A3F26" w:rsidRPr="00A42B3C" w:rsidRDefault="001A3F26" w:rsidP="000B7E74">
            <w:pPr>
              <w:jc w:val="both"/>
              <w:rPr>
                <w:rFonts w:asciiTheme="majorHAnsi" w:eastAsia="Times New Roman" w:hAnsiTheme="majorHAnsi" w:cstheme="majorHAnsi"/>
                <w:color w:val="000000"/>
                <w:sz w:val="14"/>
                <w:szCs w:val="14"/>
                <w:lang w:val="en-GB" w:eastAsia="en-GB"/>
              </w:rPr>
            </w:pPr>
            <w:r w:rsidRPr="00A42B3C">
              <w:rPr>
                <w:rFonts w:asciiTheme="majorHAnsi" w:eastAsia="Times New Roman" w:hAnsiTheme="majorHAnsi" w:cstheme="majorHAnsi"/>
                <w:color w:val="000000"/>
                <w:sz w:val="14"/>
                <w:szCs w:val="14"/>
                <w:lang w:val="en-GB" w:eastAsia="en-GB"/>
              </w:rPr>
              <w:t>Amendment 54</w:t>
            </w:r>
          </w:p>
        </w:tc>
        <w:tc>
          <w:tcPr>
            <w:tcW w:w="2976" w:type="dxa"/>
            <w:shd w:val="clear" w:color="auto" w:fill="auto"/>
            <w:vAlign w:val="center"/>
          </w:tcPr>
          <w:p w:rsidR="001A3F26" w:rsidRPr="00A42B3C" w:rsidRDefault="001A3F26" w:rsidP="000B7E74">
            <w:pPr>
              <w:jc w:val="both"/>
              <w:rPr>
                <w:rFonts w:asciiTheme="majorHAnsi" w:eastAsia="Times New Roman" w:hAnsiTheme="majorHAnsi" w:cstheme="majorHAnsi"/>
                <w:color w:val="000000"/>
                <w:sz w:val="14"/>
                <w:szCs w:val="14"/>
                <w:lang w:val="en-GB" w:eastAsia="en-GB"/>
              </w:rPr>
            </w:pPr>
            <w:r w:rsidRPr="00A42B3C">
              <w:rPr>
                <w:rFonts w:asciiTheme="majorHAnsi" w:eastAsia="Times New Roman" w:hAnsiTheme="majorHAnsi" w:cstheme="majorHAnsi"/>
                <w:color w:val="000000"/>
                <w:sz w:val="14"/>
                <w:szCs w:val="14"/>
                <w:lang w:val="en-GB" w:eastAsia="en-GB"/>
              </w:rPr>
              <w:t>Approval supervisory authority for a maturity extension</w:t>
            </w:r>
          </w:p>
        </w:tc>
        <w:tc>
          <w:tcPr>
            <w:tcW w:w="3969" w:type="dxa"/>
            <w:shd w:val="clear" w:color="auto" w:fill="auto"/>
            <w:vAlign w:val="center"/>
          </w:tcPr>
          <w:p w:rsidR="001A3F26" w:rsidRPr="00A42B3C" w:rsidRDefault="001A3F26" w:rsidP="000B7E74">
            <w:pPr>
              <w:jc w:val="both"/>
              <w:rPr>
                <w:rFonts w:asciiTheme="majorHAnsi" w:eastAsia="Times New Roman" w:hAnsiTheme="majorHAnsi" w:cstheme="majorHAnsi"/>
                <w:color w:val="000000"/>
                <w:sz w:val="14"/>
                <w:szCs w:val="14"/>
                <w:lang w:val="en-GB" w:eastAsia="en-GB"/>
              </w:rPr>
            </w:pPr>
            <w:r w:rsidRPr="00A42B3C">
              <w:rPr>
                <w:rFonts w:asciiTheme="majorHAnsi" w:eastAsia="Times New Roman" w:hAnsiTheme="majorHAnsi" w:cstheme="majorHAnsi"/>
                <w:color w:val="000000"/>
                <w:sz w:val="14"/>
                <w:szCs w:val="14"/>
                <w:lang w:val="en-GB" w:eastAsia="en-GB"/>
              </w:rPr>
              <w:t>Asking for supervisory approval makes the maturity extension mechanism less transparent for investors. Besides this the supervisory authority has approved the CB program when it was launched, so that can be seen as an approval as well.</w:t>
            </w:r>
          </w:p>
        </w:tc>
        <w:tc>
          <w:tcPr>
            <w:tcW w:w="1701" w:type="dxa"/>
            <w:shd w:val="clear" w:color="auto" w:fill="auto"/>
            <w:vAlign w:val="center"/>
          </w:tcPr>
          <w:p w:rsidR="001A3F26" w:rsidRPr="00A42B3C" w:rsidRDefault="001A3F26" w:rsidP="000B7E74">
            <w:pPr>
              <w:jc w:val="both"/>
              <w:rPr>
                <w:rFonts w:asciiTheme="majorHAnsi" w:eastAsia="Times New Roman" w:hAnsiTheme="majorHAnsi" w:cstheme="majorHAnsi"/>
                <w:color w:val="000000"/>
                <w:sz w:val="14"/>
                <w:szCs w:val="14"/>
                <w:lang w:val="en-GB" w:eastAsia="en-GB"/>
              </w:rPr>
            </w:pPr>
            <w:r w:rsidRPr="00A42B3C">
              <w:rPr>
                <w:rFonts w:asciiTheme="majorHAnsi" w:eastAsia="Times New Roman" w:hAnsiTheme="majorHAnsi" w:cstheme="majorHAnsi"/>
                <w:color w:val="000000"/>
                <w:sz w:val="14"/>
                <w:szCs w:val="14"/>
                <w:lang w:val="en-GB" w:eastAsia="en-GB"/>
              </w:rPr>
              <w:t>moderate</w:t>
            </w:r>
          </w:p>
          <w:p w:rsidR="001A3F26" w:rsidRPr="00A42B3C" w:rsidRDefault="001A3F26" w:rsidP="000B7E74">
            <w:pPr>
              <w:jc w:val="both"/>
              <w:rPr>
                <w:rFonts w:asciiTheme="majorHAnsi" w:eastAsia="Times New Roman" w:hAnsiTheme="majorHAnsi" w:cstheme="majorHAnsi"/>
                <w:color w:val="000000"/>
                <w:sz w:val="14"/>
                <w:szCs w:val="14"/>
                <w:lang w:val="en-GB" w:eastAsia="en-GB"/>
              </w:rPr>
            </w:pPr>
          </w:p>
        </w:tc>
        <w:tc>
          <w:tcPr>
            <w:tcW w:w="1757" w:type="dxa"/>
            <w:shd w:val="clear" w:color="auto" w:fill="auto"/>
            <w:vAlign w:val="center"/>
          </w:tcPr>
          <w:p w:rsidR="001A3F26" w:rsidRPr="00A42B3C" w:rsidRDefault="001A3F26" w:rsidP="000B7E74">
            <w:pPr>
              <w:jc w:val="both"/>
              <w:rPr>
                <w:rFonts w:asciiTheme="majorHAnsi" w:eastAsia="Times New Roman" w:hAnsiTheme="majorHAnsi" w:cstheme="majorHAnsi"/>
                <w:color w:val="000000"/>
                <w:sz w:val="14"/>
                <w:szCs w:val="14"/>
                <w:lang w:val="en-GB" w:eastAsia="en-GB"/>
              </w:rPr>
            </w:pPr>
            <w:r w:rsidRPr="00A42B3C">
              <w:rPr>
                <w:rFonts w:asciiTheme="majorHAnsi" w:eastAsia="Times New Roman" w:hAnsiTheme="majorHAnsi" w:cstheme="majorHAnsi"/>
                <w:color w:val="000000"/>
                <w:sz w:val="14"/>
                <w:szCs w:val="14"/>
                <w:lang w:val="en-GB" w:eastAsia="en-GB"/>
              </w:rPr>
              <w:t xml:space="preserve">Delete this part of the </w:t>
            </w:r>
            <w:r w:rsidR="00EA7097" w:rsidRPr="00A42B3C">
              <w:rPr>
                <w:rFonts w:asciiTheme="majorHAnsi" w:eastAsia="Times New Roman" w:hAnsiTheme="majorHAnsi" w:cstheme="majorHAnsi"/>
                <w:color w:val="000000"/>
                <w:sz w:val="14"/>
                <w:szCs w:val="14"/>
                <w:lang w:val="en-GB" w:eastAsia="en-GB"/>
              </w:rPr>
              <w:t>sentence:</w:t>
            </w:r>
            <w:r w:rsidRPr="00A42B3C">
              <w:rPr>
                <w:rFonts w:asciiTheme="majorHAnsi" w:eastAsia="Times New Roman" w:hAnsiTheme="majorHAnsi" w:cstheme="majorHAnsi"/>
                <w:color w:val="000000"/>
                <w:sz w:val="14"/>
                <w:szCs w:val="14"/>
                <w:lang w:val="en-GB" w:eastAsia="en-GB"/>
              </w:rPr>
              <w:t xml:space="preserve"> …. and with approval by the competent authority."</w:t>
            </w:r>
          </w:p>
        </w:tc>
        <w:tc>
          <w:tcPr>
            <w:tcW w:w="712" w:type="dxa"/>
          </w:tcPr>
          <w:p w:rsidR="001A3F26" w:rsidRPr="00A42B3C" w:rsidRDefault="001A3F26" w:rsidP="000B7E74">
            <w:pPr>
              <w:jc w:val="both"/>
              <w:rPr>
                <w:rFonts w:asciiTheme="majorHAnsi" w:eastAsia="Times New Roman" w:hAnsiTheme="majorHAnsi" w:cstheme="majorHAnsi"/>
                <w:color w:val="000000"/>
                <w:sz w:val="14"/>
                <w:szCs w:val="14"/>
                <w:lang w:val="en-GB" w:eastAsia="en-GB"/>
              </w:rPr>
            </w:pPr>
            <w:r w:rsidRPr="00A42B3C">
              <w:rPr>
                <w:rFonts w:asciiTheme="majorHAnsi" w:eastAsia="Times New Roman" w:hAnsiTheme="majorHAnsi" w:cstheme="majorHAnsi"/>
                <w:color w:val="000000"/>
                <w:sz w:val="14"/>
                <w:szCs w:val="14"/>
                <w:lang w:val="en-GB" w:eastAsia="en-GB"/>
              </w:rPr>
              <w:t>EU</w:t>
            </w:r>
          </w:p>
        </w:tc>
      </w:tr>
      <w:tr w:rsidR="001A3F26" w:rsidRPr="00A42B3C" w:rsidTr="00250941">
        <w:trPr>
          <w:trHeight w:val="712"/>
        </w:trPr>
        <w:tc>
          <w:tcPr>
            <w:tcW w:w="846" w:type="dxa"/>
            <w:vAlign w:val="center"/>
          </w:tcPr>
          <w:p w:rsidR="001A3F26" w:rsidRPr="00A42B3C" w:rsidRDefault="001A3F26" w:rsidP="000B7E74">
            <w:pPr>
              <w:jc w:val="both"/>
              <w:rPr>
                <w:rFonts w:asciiTheme="majorHAnsi" w:eastAsia="Times New Roman" w:hAnsiTheme="majorHAnsi" w:cstheme="majorHAnsi"/>
                <w:color w:val="000000"/>
                <w:sz w:val="14"/>
                <w:szCs w:val="14"/>
                <w:lang w:val="en-GB" w:eastAsia="en-GB"/>
              </w:rPr>
            </w:pPr>
            <w:r w:rsidRPr="00A42B3C">
              <w:rPr>
                <w:rFonts w:asciiTheme="majorHAnsi" w:eastAsia="Times New Roman" w:hAnsiTheme="majorHAnsi" w:cstheme="majorHAnsi"/>
                <w:color w:val="000000"/>
                <w:sz w:val="14"/>
                <w:szCs w:val="14"/>
                <w:lang w:val="en-GB" w:eastAsia="en-GB"/>
              </w:rPr>
              <w:t>3</w:t>
            </w:r>
          </w:p>
        </w:tc>
        <w:tc>
          <w:tcPr>
            <w:tcW w:w="850" w:type="dxa"/>
            <w:shd w:val="clear" w:color="auto" w:fill="auto"/>
            <w:vAlign w:val="center"/>
          </w:tcPr>
          <w:p w:rsidR="001A3F26" w:rsidRPr="00A42B3C" w:rsidRDefault="001A3F26" w:rsidP="000B7E74">
            <w:pPr>
              <w:jc w:val="both"/>
              <w:rPr>
                <w:rFonts w:asciiTheme="majorHAnsi" w:eastAsia="Times New Roman" w:hAnsiTheme="majorHAnsi" w:cstheme="majorHAnsi"/>
                <w:color w:val="000000"/>
                <w:sz w:val="14"/>
                <w:szCs w:val="14"/>
                <w:lang w:val="en-GB" w:eastAsia="en-GB"/>
              </w:rPr>
            </w:pPr>
            <w:r w:rsidRPr="00A42B3C">
              <w:rPr>
                <w:rFonts w:asciiTheme="majorHAnsi" w:eastAsia="Times New Roman" w:hAnsiTheme="majorHAnsi" w:cstheme="majorHAnsi"/>
                <w:color w:val="000000"/>
                <w:sz w:val="14"/>
                <w:szCs w:val="14"/>
                <w:lang w:val="en-GB" w:eastAsia="en-GB"/>
              </w:rPr>
              <w:t>Directive</w:t>
            </w:r>
          </w:p>
        </w:tc>
        <w:tc>
          <w:tcPr>
            <w:tcW w:w="2558" w:type="dxa"/>
            <w:shd w:val="clear" w:color="auto" w:fill="auto"/>
            <w:vAlign w:val="center"/>
          </w:tcPr>
          <w:p w:rsidR="001A3F26" w:rsidRPr="00A42B3C" w:rsidRDefault="001A3F26" w:rsidP="000B7E74">
            <w:pPr>
              <w:jc w:val="both"/>
              <w:rPr>
                <w:rFonts w:asciiTheme="majorHAnsi" w:eastAsia="Times New Roman" w:hAnsiTheme="majorHAnsi" w:cstheme="majorHAnsi"/>
                <w:color w:val="000000"/>
                <w:sz w:val="14"/>
                <w:szCs w:val="14"/>
                <w:lang w:val="en-GB" w:eastAsia="en-GB"/>
              </w:rPr>
            </w:pPr>
            <w:r w:rsidRPr="00A42B3C">
              <w:rPr>
                <w:rFonts w:asciiTheme="majorHAnsi" w:eastAsia="Times New Roman" w:hAnsiTheme="majorHAnsi" w:cstheme="majorHAnsi"/>
                <w:color w:val="000000"/>
                <w:sz w:val="14"/>
                <w:szCs w:val="14"/>
                <w:lang w:val="en-GB" w:eastAsia="en-GB"/>
              </w:rPr>
              <w:t>Amendment 11 and 32</w:t>
            </w:r>
          </w:p>
        </w:tc>
        <w:tc>
          <w:tcPr>
            <w:tcW w:w="2976" w:type="dxa"/>
            <w:shd w:val="clear" w:color="auto" w:fill="auto"/>
            <w:vAlign w:val="center"/>
          </w:tcPr>
          <w:p w:rsidR="001A3F26" w:rsidRPr="00A42B3C" w:rsidRDefault="001A3F26" w:rsidP="000B7E74">
            <w:pPr>
              <w:jc w:val="both"/>
              <w:rPr>
                <w:rFonts w:asciiTheme="majorHAnsi" w:eastAsia="Times New Roman" w:hAnsiTheme="majorHAnsi" w:cstheme="majorHAnsi"/>
                <w:color w:val="000000"/>
                <w:sz w:val="14"/>
                <w:szCs w:val="14"/>
                <w:lang w:val="en-GB" w:eastAsia="en-GB"/>
              </w:rPr>
            </w:pPr>
            <w:r w:rsidRPr="00A42B3C">
              <w:rPr>
                <w:rFonts w:asciiTheme="majorHAnsi" w:eastAsia="Times New Roman" w:hAnsiTheme="majorHAnsi" w:cstheme="majorHAnsi"/>
                <w:color w:val="000000"/>
                <w:sz w:val="14"/>
                <w:szCs w:val="14"/>
                <w:lang w:val="en-GB" w:eastAsia="en-GB"/>
              </w:rPr>
              <w:t>Introduction Ordinary Covered Bonds (OCBs)</w:t>
            </w:r>
          </w:p>
        </w:tc>
        <w:tc>
          <w:tcPr>
            <w:tcW w:w="3969" w:type="dxa"/>
            <w:shd w:val="clear" w:color="auto" w:fill="auto"/>
            <w:vAlign w:val="center"/>
          </w:tcPr>
          <w:p w:rsidR="001A3F26" w:rsidRPr="00A42B3C" w:rsidRDefault="001A3F26" w:rsidP="000B7E74">
            <w:pPr>
              <w:jc w:val="both"/>
              <w:rPr>
                <w:rFonts w:asciiTheme="majorHAnsi" w:eastAsia="Times New Roman" w:hAnsiTheme="majorHAnsi" w:cstheme="majorHAnsi"/>
                <w:color w:val="000000"/>
                <w:sz w:val="14"/>
                <w:szCs w:val="14"/>
                <w:lang w:val="en-GB" w:eastAsia="en-GB"/>
              </w:rPr>
            </w:pPr>
            <w:r w:rsidRPr="00A42B3C">
              <w:rPr>
                <w:rFonts w:asciiTheme="majorHAnsi" w:eastAsia="Times New Roman" w:hAnsiTheme="majorHAnsi" w:cstheme="majorHAnsi"/>
                <w:color w:val="000000"/>
                <w:sz w:val="14"/>
                <w:szCs w:val="14"/>
                <w:lang w:val="en-GB" w:eastAsia="en-GB"/>
              </w:rPr>
              <w:t xml:space="preserve">The introduction of OCBs could cause confusion in the market. Although outside of the scope of its CB Harmonisation Directive &amp; Regulation the EC is looking at European Secured Notes as an alternative form of covered financing in comparison with CB. We fear that the introduction of OCBs still could taint the good standing of CB and as a result could do harm to the PCB segment of the market as well. Further to this the proposal does not exclude the issuance of ESNs, this could cause confusion in the market given the fact that there would be three types of covered funding instruments: PCBs, OCBs and ESNs.  </w:t>
            </w:r>
          </w:p>
        </w:tc>
        <w:tc>
          <w:tcPr>
            <w:tcW w:w="1701" w:type="dxa"/>
            <w:shd w:val="clear" w:color="auto" w:fill="auto"/>
            <w:vAlign w:val="center"/>
          </w:tcPr>
          <w:p w:rsidR="001A3F26" w:rsidRPr="00A42B3C" w:rsidRDefault="001A3F26" w:rsidP="000B7E74">
            <w:pPr>
              <w:jc w:val="both"/>
              <w:rPr>
                <w:rFonts w:asciiTheme="majorHAnsi" w:eastAsia="Times New Roman" w:hAnsiTheme="majorHAnsi" w:cstheme="majorHAnsi"/>
                <w:color w:val="000000"/>
                <w:sz w:val="14"/>
                <w:szCs w:val="14"/>
                <w:lang w:val="en-GB" w:eastAsia="en-GB"/>
              </w:rPr>
            </w:pPr>
            <w:r w:rsidRPr="00A42B3C">
              <w:rPr>
                <w:rFonts w:asciiTheme="majorHAnsi" w:eastAsia="Times New Roman" w:hAnsiTheme="majorHAnsi" w:cstheme="majorHAnsi"/>
                <w:color w:val="000000"/>
                <w:sz w:val="14"/>
                <w:szCs w:val="14"/>
                <w:lang w:val="en-GB" w:eastAsia="en-GB"/>
              </w:rPr>
              <w:t>high</w:t>
            </w:r>
          </w:p>
        </w:tc>
        <w:tc>
          <w:tcPr>
            <w:tcW w:w="1757" w:type="dxa"/>
            <w:shd w:val="clear" w:color="auto" w:fill="auto"/>
            <w:vAlign w:val="center"/>
          </w:tcPr>
          <w:p w:rsidR="001A3F26" w:rsidRPr="00A42B3C" w:rsidRDefault="001A3F26" w:rsidP="000B7E74">
            <w:pPr>
              <w:jc w:val="both"/>
              <w:rPr>
                <w:rFonts w:asciiTheme="majorHAnsi" w:eastAsia="Times New Roman" w:hAnsiTheme="majorHAnsi" w:cstheme="majorHAnsi"/>
                <w:color w:val="000000"/>
                <w:sz w:val="14"/>
                <w:szCs w:val="14"/>
                <w:lang w:val="en-GB" w:eastAsia="en-GB"/>
              </w:rPr>
            </w:pPr>
            <w:r w:rsidRPr="00A42B3C">
              <w:rPr>
                <w:rFonts w:asciiTheme="majorHAnsi" w:eastAsia="Times New Roman" w:hAnsiTheme="majorHAnsi" w:cstheme="majorHAnsi"/>
                <w:color w:val="000000"/>
                <w:sz w:val="14"/>
                <w:szCs w:val="14"/>
                <w:lang w:val="en-GB" w:eastAsia="en-GB"/>
              </w:rPr>
              <w:t>To NOT introduce the concept of OCBs.</w:t>
            </w:r>
          </w:p>
        </w:tc>
        <w:tc>
          <w:tcPr>
            <w:tcW w:w="712" w:type="dxa"/>
          </w:tcPr>
          <w:p w:rsidR="001A3F26" w:rsidRPr="00A42B3C" w:rsidRDefault="001A3F26" w:rsidP="000B7E74">
            <w:pPr>
              <w:jc w:val="both"/>
              <w:rPr>
                <w:rFonts w:asciiTheme="majorHAnsi" w:eastAsia="Times New Roman" w:hAnsiTheme="majorHAnsi" w:cstheme="majorHAnsi"/>
                <w:color w:val="000000"/>
                <w:sz w:val="14"/>
                <w:szCs w:val="14"/>
                <w:lang w:val="en-GB" w:eastAsia="en-GB"/>
              </w:rPr>
            </w:pPr>
            <w:r w:rsidRPr="00A42B3C">
              <w:rPr>
                <w:rFonts w:asciiTheme="majorHAnsi" w:eastAsia="Times New Roman" w:hAnsiTheme="majorHAnsi" w:cstheme="majorHAnsi"/>
                <w:color w:val="000000"/>
                <w:sz w:val="14"/>
                <w:szCs w:val="14"/>
                <w:lang w:val="en-GB" w:eastAsia="en-GB"/>
              </w:rPr>
              <w:t>EU</w:t>
            </w:r>
          </w:p>
        </w:tc>
      </w:tr>
      <w:tr w:rsidR="001A3F26" w:rsidRPr="00A42B3C" w:rsidTr="00250941">
        <w:trPr>
          <w:trHeight w:val="712"/>
        </w:trPr>
        <w:tc>
          <w:tcPr>
            <w:tcW w:w="846" w:type="dxa"/>
            <w:vAlign w:val="center"/>
          </w:tcPr>
          <w:p w:rsidR="001A3F26" w:rsidRPr="00A42B3C" w:rsidRDefault="001A3F26" w:rsidP="000B7E74">
            <w:pPr>
              <w:jc w:val="both"/>
              <w:rPr>
                <w:rFonts w:asciiTheme="majorHAnsi" w:eastAsia="Times New Roman" w:hAnsiTheme="majorHAnsi" w:cstheme="majorHAnsi"/>
                <w:color w:val="000000"/>
                <w:sz w:val="14"/>
                <w:szCs w:val="14"/>
                <w:lang w:val="en-GB" w:eastAsia="en-GB"/>
              </w:rPr>
            </w:pPr>
            <w:r w:rsidRPr="00A42B3C">
              <w:rPr>
                <w:rFonts w:asciiTheme="majorHAnsi" w:eastAsia="Times New Roman" w:hAnsiTheme="majorHAnsi" w:cstheme="majorHAnsi"/>
                <w:color w:val="000000"/>
                <w:sz w:val="14"/>
                <w:szCs w:val="14"/>
                <w:lang w:val="en-GB" w:eastAsia="en-GB"/>
              </w:rPr>
              <w:t>4</w:t>
            </w:r>
          </w:p>
        </w:tc>
        <w:tc>
          <w:tcPr>
            <w:tcW w:w="850" w:type="dxa"/>
            <w:shd w:val="clear" w:color="auto" w:fill="auto"/>
            <w:vAlign w:val="center"/>
          </w:tcPr>
          <w:p w:rsidR="001A3F26" w:rsidRPr="00A42B3C" w:rsidRDefault="001A3F26" w:rsidP="000B7E74">
            <w:pPr>
              <w:jc w:val="both"/>
              <w:rPr>
                <w:rFonts w:asciiTheme="majorHAnsi" w:eastAsia="Times New Roman" w:hAnsiTheme="majorHAnsi" w:cstheme="majorHAnsi"/>
                <w:color w:val="000000"/>
                <w:sz w:val="14"/>
                <w:szCs w:val="14"/>
                <w:lang w:val="en-GB" w:eastAsia="en-GB"/>
              </w:rPr>
            </w:pPr>
            <w:r w:rsidRPr="00A42B3C">
              <w:rPr>
                <w:rFonts w:asciiTheme="majorHAnsi" w:eastAsia="Times New Roman" w:hAnsiTheme="majorHAnsi" w:cstheme="majorHAnsi"/>
                <w:color w:val="000000"/>
                <w:sz w:val="14"/>
                <w:szCs w:val="14"/>
                <w:lang w:val="en-GB" w:eastAsia="en-GB"/>
              </w:rPr>
              <w:t>Directive</w:t>
            </w:r>
          </w:p>
        </w:tc>
        <w:tc>
          <w:tcPr>
            <w:tcW w:w="2558" w:type="dxa"/>
            <w:shd w:val="clear" w:color="auto" w:fill="auto"/>
            <w:vAlign w:val="center"/>
          </w:tcPr>
          <w:p w:rsidR="001A3F26" w:rsidRPr="00A42B3C" w:rsidRDefault="001A3F26" w:rsidP="000B7E74">
            <w:pPr>
              <w:jc w:val="both"/>
              <w:rPr>
                <w:rFonts w:asciiTheme="majorHAnsi" w:eastAsia="Times New Roman" w:hAnsiTheme="majorHAnsi" w:cstheme="majorHAnsi"/>
                <w:color w:val="000000"/>
                <w:sz w:val="14"/>
                <w:szCs w:val="14"/>
                <w:lang w:val="en-GB" w:eastAsia="en-GB"/>
              </w:rPr>
            </w:pPr>
          </w:p>
        </w:tc>
        <w:tc>
          <w:tcPr>
            <w:tcW w:w="2976" w:type="dxa"/>
            <w:shd w:val="clear" w:color="auto" w:fill="auto"/>
            <w:vAlign w:val="center"/>
          </w:tcPr>
          <w:p w:rsidR="001A3F26" w:rsidRPr="00A42B3C" w:rsidRDefault="001A3F26" w:rsidP="000B7E74">
            <w:pPr>
              <w:jc w:val="both"/>
              <w:rPr>
                <w:rFonts w:asciiTheme="majorHAnsi" w:eastAsia="Times New Roman" w:hAnsiTheme="majorHAnsi" w:cstheme="majorHAnsi"/>
                <w:color w:val="000000"/>
                <w:sz w:val="14"/>
                <w:szCs w:val="14"/>
                <w:lang w:val="en-GB" w:eastAsia="en-GB"/>
              </w:rPr>
            </w:pPr>
            <w:r w:rsidRPr="00A42B3C">
              <w:rPr>
                <w:rFonts w:asciiTheme="majorHAnsi" w:eastAsia="Times New Roman" w:hAnsiTheme="majorHAnsi" w:cstheme="majorHAnsi"/>
                <w:color w:val="000000"/>
                <w:sz w:val="14"/>
                <w:szCs w:val="14"/>
                <w:lang w:val="en-GB" w:eastAsia="en-GB"/>
              </w:rPr>
              <w:t xml:space="preserve">Dutch issuers base their coverage calculations on the notional amounts for the primary cover assets (Dutch residential mortgages) as </w:t>
            </w:r>
            <w:r w:rsidR="00EA7097" w:rsidRPr="00A42B3C">
              <w:rPr>
                <w:rFonts w:asciiTheme="majorHAnsi" w:eastAsia="Times New Roman" w:hAnsiTheme="majorHAnsi" w:cstheme="majorHAnsi"/>
                <w:color w:val="000000"/>
                <w:sz w:val="14"/>
                <w:szCs w:val="14"/>
                <w:lang w:val="en-GB" w:eastAsia="en-GB"/>
              </w:rPr>
              <w:t>well as</w:t>
            </w:r>
            <w:r w:rsidRPr="00A42B3C">
              <w:rPr>
                <w:rFonts w:asciiTheme="majorHAnsi" w:eastAsia="Times New Roman" w:hAnsiTheme="majorHAnsi" w:cstheme="majorHAnsi"/>
                <w:color w:val="000000"/>
                <w:sz w:val="14"/>
                <w:szCs w:val="14"/>
                <w:lang w:val="en-GB" w:eastAsia="en-GB"/>
              </w:rPr>
              <w:t xml:space="preserve"> for the outstanding covered bonds. However, when issuers also includ</w:t>
            </w:r>
            <w:r w:rsidR="00DD7D35" w:rsidRPr="00A42B3C">
              <w:rPr>
                <w:rFonts w:asciiTheme="majorHAnsi" w:eastAsia="Times New Roman" w:hAnsiTheme="majorHAnsi" w:cstheme="majorHAnsi"/>
                <w:color w:val="000000"/>
                <w:sz w:val="14"/>
                <w:szCs w:val="14"/>
                <w:lang w:val="en-GB" w:eastAsia="en-GB"/>
              </w:rPr>
              <w:t xml:space="preserve">e liquid (substitution) assets </w:t>
            </w:r>
            <w:r w:rsidRPr="00A42B3C">
              <w:rPr>
                <w:rFonts w:asciiTheme="majorHAnsi" w:eastAsia="Times New Roman" w:hAnsiTheme="majorHAnsi" w:cstheme="majorHAnsi"/>
                <w:color w:val="000000"/>
                <w:sz w:val="14"/>
                <w:szCs w:val="14"/>
                <w:lang w:val="en-GB" w:eastAsia="en-GB"/>
              </w:rPr>
              <w:t xml:space="preserve">in their cover pool than these assets have to </w:t>
            </w:r>
            <w:r w:rsidR="00DD7D35" w:rsidRPr="00A42B3C">
              <w:rPr>
                <w:rFonts w:asciiTheme="majorHAnsi" w:eastAsia="Times New Roman" w:hAnsiTheme="majorHAnsi" w:cstheme="majorHAnsi"/>
                <w:color w:val="000000"/>
                <w:sz w:val="14"/>
                <w:szCs w:val="14"/>
                <w:lang w:val="en-GB" w:eastAsia="en-GB"/>
              </w:rPr>
              <w:t xml:space="preserve">be </w:t>
            </w:r>
            <w:r w:rsidRPr="00A42B3C">
              <w:rPr>
                <w:rFonts w:asciiTheme="majorHAnsi" w:eastAsia="Times New Roman" w:hAnsiTheme="majorHAnsi" w:cstheme="majorHAnsi"/>
                <w:color w:val="000000"/>
                <w:sz w:val="14"/>
                <w:szCs w:val="14"/>
                <w:lang w:val="en-GB" w:eastAsia="en-GB"/>
              </w:rPr>
              <w:t>valued at their market value. Dutch issuers therefore propose to adjust the text to reflect this.</w:t>
            </w:r>
          </w:p>
        </w:tc>
        <w:tc>
          <w:tcPr>
            <w:tcW w:w="3969" w:type="dxa"/>
            <w:shd w:val="clear" w:color="auto" w:fill="auto"/>
            <w:vAlign w:val="center"/>
          </w:tcPr>
          <w:p w:rsidR="001A3F26" w:rsidRPr="00A42B3C" w:rsidRDefault="001A3F26" w:rsidP="000B7E74">
            <w:pPr>
              <w:jc w:val="both"/>
              <w:rPr>
                <w:rFonts w:asciiTheme="majorHAnsi" w:eastAsia="Times New Roman" w:hAnsiTheme="majorHAnsi" w:cstheme="majorHAnsi"/>
                <w:color w:val="000000"/>
                <w:sz w:val="14"/>
                <w:szCs w:val="14"/>
                <w:lang w:val="en-GB" w:eastAsia="en-GB"/>
              </w:rPr>
            </w:pPr>
            <w:r w:rsidRPr="00A42B3C">
              <w:rPr>
                <w:rFonts w:asciiTheme="majorHAnsi" w:eastAsia="Times New Roman" w:hAnsiTheme="majorHAnsi" w:cstheme="majorHAnsi"/>
                <w:color w:val="000000"/>
                <w:sz w:val="14"/>
                <w:szCs w:val="14"/>
                <w:lang w:val="en-GB" w:eastAsia="en-GB"/>
              </w:rPr>
              <w:t>The current wording of Article 15-2 could result in unintended consequences when calculating the minimum required over-</w:t>
            </w:r>
            <w:r w:rsidR="00EA7097" w:rsidRPr="00A42B3C">
              <w:rPr>
                <w:rFonts w:asciiTheme="majorHAnsi" w:eastAsia="Times New Roman" w:hAnsiTheme="majorHAnsi" w:cstheme="majorHAnsi"/>
                <w:color w:val="000000"/>
                <w:sz w:val="14"/>
                <w:szCs w:val="14"/>
                <w:lang w:val="en-GB" w:eastAsia="en-GB"/>
              </w:rPr>
              <w:t>collateralisation ratios</w:t>
            </w:r>
            <w:r w:rsidRPr="00A42B3C">
              <w:rPr>
                <w:rFonts w:asciiTheme="majorHAnsi" w:eastAsia="Times New Roman" w:hAnsiTheme="majorHAnsi" w:cstheme="majorHAnsi"/>
                <w:color w:val="000000"/>
                <w:sz w:val="14"/>
                <w:szCs w:val="14"/>
                <w:lang w:val="en-GB" w:eastAsia="en-GB"/>
              </w:rPr>
              <w:t>. Issuers are either unjustifiably penalised or obtain unjustifiable advantage when calculating these ratios.</w:t>
            </w:r>
          </w:p>
        </w:tc>
        <w:tc>
          <w:tcPr>
            <w:tcW w:w="1701" w:type="dxa"/>
            <w:shd w:val="clear" w:color="auto" w:fill="auto"/>
            <w:vAlign w:val="center"/>
          </w:tcPr>
          <w:p w:rsidR="001A3F26" w:rsidRPr="00A42B3C" w:rsidRDefault="001A3F26" w:rsidP="000B7E74">
            <w:pPr>
              <w:jc w:val="both"/>
              <w:rPr>
                <w:rFonts w:asciiTheme="majorHAnsi" w:eastAsia="Times New Roman" w:hAnsiTheme="majorHAnsi" w:cstheme="majorHAnsi"/>
                <w:color w:val="000000"/>
                <w:sz w:val="14"/>
                <w:szCs w:val="14"/>
                <w:lang w:val="en-GB" w:eastAsia="en-GB"/>
              </w:rPr>
            </w:pPr>
            <w:r w:rsidRPr="00A42B3C">
              <w:rPr>
                <w:rFonts w:asciiTheme="majorHAnsi" w:eastAsia="Times New Roman" w:hAnsiTheme="majorHAnsi" w:cstheme="majorHAnsi"/>
                <w:color w:val="000000"/>
                <w:sz w:val="14"/>
                <w:szCs w:val="14"/>
                <w:lang w:val="en-GB" w:eastAsia="en-GB"/>
              </w:rPr>
              <w:t>moderate</w:t>
            </w:r>
          </w:p>
        </w:tc>
        <w:tc>
          <w:tcPr>
            <w:tcW w:w="1757" w:type="dxa"/>
            <w:shd w:val="clear" w:color="auto" w:fill="auto"/>
            <w:vAlign w:val="center"/>
          </w:tcPr>
          <w:p w:rsidR="001A3F26" w:rsidRPr="00A42B3C" w:rsidRDefault="001A3F26" w:rsidP="000B7E74">
            <w:pPr>
              <w:jc w:val="both"/>
              <w:rPr>
                <w:rFonts w:asciiTheme="majorHAnsi" w:eastAsia="Times New Roman" w:hAnsiTheme="majorHAnsi" w:cstheme="majorHAnsi"/>
                <w:color w:val="000000"/>
                <w:sz w:val="14"/>
                <w:szCs w:val="14"/>
                <w:lang w:val="en-GB" w:eastAsia="en-GB"/>
              </w:rPr>
            </w:pPr>
            <w:r w:rsidRPr="00A42B3C">
              <w:rPr>
                <w:rFonts w:asciiTheme="majorHAnsi" w:eastAsia="Times New Roman" w:hAnsiTheme="majorHAnsi" w:cstheme="majorHAnsi"/>
                <w:color w:val="000000"/>
                <w:sz w:val="14"/>
                <w:szCs w:val="14"/>
                <w:lang w:val="en-GB" w:eastAsia="en-GB"/>
              </w:rPr>
              <w:t xml:space="preserve">Member States shall ensure that the calculation of coverage and the calculation of liabilities is based on the same methodology, </w:t>
            </w:r>
            <w:r w:rsidRPr="00A42B3C">
              <w:rPr>
                <w:rFonts w:asciiTheme="majorHAnsi" w:eastAsia="Times New Roman" w:hAnsiTheme="majorHAnsi" w:cstheme="majorHAnsi"/>
                <w:i/>
                <w:color w:val="000000"/>
                <w:sz w:val="14"/>
                <w:szCs w:val="14"/>
                <w:lang w:val="en-GB" w:eastAsia="en-GB"/>
              </w:rPr>
              <w:t>except for substitution and / or liquid assets.</w:t>
            </w:r>
          </w:p>
        </w:tc>
        <w:tc>
          <w:tcPr>
            <w:tcW w:w="712" w:type="dxa"/>
          </w:tcPr>
          <w:p w:rsidR="001A3F26" w:rsidRPr="00A42B3C" w:rsidRDefault="00DD7D35" w:rsidP="000B7E74">
            <w:pPr>
              <w:jc w:val="both"/>
              <w:rPr>
                <w:rFonts w:asciiTheme="majorHAnsi" w:eastAsia="Times New Roman" w:hAnsiTheme="majorHAnsi" w:cstheme="majorHAnsi"/>
                <w:color w:val="000000"/>
                <w:sz w:val="14"/>
                <w:szCs w:val="14"/>
                <w:lang w:val="en-GB" w:eastAsia="en-GB"/>
              </w:rPr>
            </w:pPr>
            <w:r w:rsidRPr="00A42B3C">
              <w:rPr>
                <w:rFonts w:asciiTheme="majorHAnsi" w:eastAsia="Times New Roman" w:hAnsiTheme="majorHAnsi" w:cstheme="majorHAnsi"/>
                <w:color w:val="000000"/>
                <w:sz w:val="14"/>
                <w:szCs w:val="14"/>
                <w:lang w:val="en-GB" w:eastAsia="en-GB"/>
              </w:rPr>
              <w:t>national</w:t>
            </w:r>
          </w:p>
        </w:tc>
      </w:tr>
      <w:tr w:rsidR="001A3F26" w:rsidRPr="00A42B3C" w:rsidTr="00250941">
        <w:trPr>
          <w:trHeight w:val="62"/>
        </w:trPr>
        <w:tc>
          <w:tcPr>
            <w:tcW w:w="14657" w:type="dxa"/>
            <w:gridSpan w:val="7"/>
            <w:tcBorders>
              <w:top w:val="single" w:sz="4" w:space="0" w:color="FFFFFF"/>
              <w:left w:val="single" w:sz="4" w:space="0" w:color="FFFFFF" w:themeColor="background1"/>
              <w:bottom w:val="single" w:sz="4" w:space="0" w:color="FFFFFF"/>
              <w:right w:val="single" w:sz="4" w:space="0" w:color="FFFFFF" w:themeColor="background1"/>
            </w:tcBorders>
            <w:vAlign w:val="center"/>
          </w:tcPr>
          <w:p w:rsidR="001A3F26" w:rsidRPr="00A42B3C" w:rsidRDefault="001A3F26" w:rsidP="00250941">
            <w:pPr>
              <w:rPr>
                <w:rFonts w:asciiTheme="majorHAnsi" w:eastAsia="Times New Roman" w:hAnsiTheme="majorHAnsi" w:cstheme="majorHAnsi"/>
                <w:color w:val="000000"/>
                <w:sz w:val="16"/>
                <w:szCs w:val="18"/>
                <w:lang w:val="en-GB" w:eastAsia="en-GB"/>
              </w:rPr>
            </w:pPr>
          </w:p>
          <w:p w:rsidR="001A3F26" w:rsidRPr="00A42B3C" w:rsidRDefault="001A3F26" w:rsidP="00250941">
            <w:pPr>
              <w:rPr>
                <w:rFonts w:asciiTheme="majorHAnsi" w:eastAsia="Times New Roman" w:hAnsiTheme="majorHAnsi" w:cstheme="majorHAnsi"/>
                <w:color w:val="000000"/>
                <w:sz w:val="16"/>
                <w:szCs w:val="18"/>
                <w:lang w:val="en-GB" w:eastAsia="en-GB"/>
              </w:rPr>
            </w:pPr>
          </w:p>
          <w:p w:rsidR="001A3F26" w:rsidRPr="00A42B3C" w:rsidRDefault="001A3F26" w:rsidP="00250941">
            <w:pPr>
              <w:rPr>
                <w:rFonts w:asciiTheme="majorHAnsi" w:eastAsia="Times New Roman" w:hAnsiTheme="majorHAnsi" w:cstheme="majorHAnsi"/>
                <w:color w:val="000000"/>
                <w:sz w:val="16"/>
                <w:szCs w:val="18"/>
                <w:lang w:val="en-GB" w:eastAsia="en-GB"/>
              </w:rPr>
            </w:pPr>
          </w:p>
          <w:p w:rsidR="001A3F26" w:rsidRPr="00A42B3C" w:rsidRDefault="004A3071" w:rsidP="00250941">
            <w:pPr>
              <w:rPr>
                <w:rFonts w:asciiTheme="majorHAnsi" w:eastAsia="Times New Roman" w:hAnsiTheme="majorHAnsi" w:cstheme="majorHAnsi"/>
                <w:i/>
                <w:color w:val="000000"/>
                <w:sz w:val="20"/>
                <w:szCs w:val="18"/>
                <w:lang w:val="en-GB" w:eastAsia="en-GB"/>
              </w:rPr>
            </w:pPr>
            <w:r w:rsidRPr="00A42B3C">
              <w:rPr>
                <w:rFonts w:asciiTheme="majorHAnsi" w:eastAsia="Times New Roman" w:hAnsiTheme="majorHAnsi" w:cstheme="majorHAnsi"/>
                <w:i/>
                <w:color w:val="000000"/>
                <w:sz w:val="20"/>
                <w:szCs w:val="18"/>
                <w:lang w:val="en-GB" w:eastAsia="en-GB"/>
              </w:rPr>
              <w:t xml:space="preserve">Source: </w:t>
            </w:r>
            <w:r w:rsidR="00EC74AD" w:rsidRPr="00A42B3C">
              <w:rPr>
                <w:rFonts w:asciiTheme="majorHAnsi" w:eastAsia="Times New Roman" w:hAnsiTheme="majorHAnsi" w:cstheme="majorHAnsi"/>
                <w:i/>
                <w:color w:val="000000"/>
                <w:sz w:val="20"/>
                <w:szCs w:val="18"/>
                <w:lang w:val="en-GB" w:eastAsia="en-GB"/>
              </w:rPr>
              <w:t>DACB</w:t>
            </w:r>
          </w:p>
          <w:p w:rsidR="001A3F26" w:rsidRPr="00A42B3C" w:rsidRDefault="001A3F26" w:rsidP="00250941">
            <w:pPr>
              <w:rPr>
                <w:rFonts w:asciiTheme="majorHAnsi" w:eastAsia="Times New Roman" w:hAnsiTheme="majorHAnsi" w:cstheme="majorHAnsi"/>
                <w:color w:val="000000"/>
                <w:sz w:val="16"/>
                <w:szCs w:val="18"/>
                <w:lang w:val="en-GB" w:eastAsia="en-GB"/>
              </w:rPr>
            </w:pPr>
          </w:p>
        </w:tc>
        <w:tc>
          <w:tcPr>
            <w:tcW w:w="712" w:type="dxa"/>
            <w:tcBorders>
              <w:top w:val="single" w:sz="4" w:space="0" w:color="FFFFFF"/>
              <w:left w:val="single" w:sz="4" w:space="0" w:color="FFFFFF" w:themeColor="background1"/>
              <w:bottom w:val="single" w:sz="4" w:space="0" w:color="FFFFFF"/>
              <w:right w:val="single" w:sz="4" w:space="0" w:color="FFFFFF" w:themeColor="background1"/>
            </w:tcBorders>
          </w:tcPr>
          <w:p w:rsidR="001A3F26" w:rsidRPr="00A42B3C" w:rsidRDefault="001A3F26" w:rsidP="00250941">
            <w:pPr>
              <w:rPr>
                <w:rFonts w:asciiTheme="majorHAnsi" w:eastAsia="Times New Roman" w:hAnsiTheme="majorHAnsi" w:cstheme="majorHAnsi"/>
                <w:color w:val="000000"/>
                <w:sz w:val="16"/>
                <w:szCs w:val="18"/>
                <w:lang w:val="en-GB" w:eastAsia="en-GB"/>
              </w:rPr>
            </w:pPr>
          </w:p>
        </w:tc>
      </w:tr>
    </w:tbl>
    <w:p w:rsidR="00E56705" w:rsidRPr="00A42B3C" w:rsidRDefault="00E56705" w:rsidP="00F5594F">
      <w:pPr>
        <w:rPr>
          <w:lang w:val="en-GB"/>
        </w:rPr>
      </w:pPr>
      <w:bookmarkStart w:id="18" w:name="_Norway"/>
      <w:bookmarkEnd w:id="18"/>
    </w:p>
    <w:p w:rsidR="001A3F26" w:rsidRPr="00A42B3C" w:rsidRDefault="001A3F26" w:rsidP="00F5594F">
      <w:pPr>
        <w:rPr>
          <w:lang w:val="en-GB"/>
        </w:rPr>
      </w:pPr>
    </w:p>
    <w:p w:rsidR="001A3F26" w:rsidRPr="00A42B3C" w:rsidRDefault="001A3F26" w:rsidP="00F5594F">
      <w:pPr>
        <w:rPr>
          <w:lang w:val="en-GB"/>
        </w:rPr>
      </w:pPr>
    </w:p>
    <w:p w:rsidR="00B17B60" w:rsidRPr="00A42B3C" w:rsidRDefault="00B17B60" w:rsidP="00F5594F">
      <w:pPr>
        <w:rPr>
          <w:lang w:val="en-GB"/>
        </w:rPr>
      </w:pPr>
    </w:p>
    <w:p w:rsidR="00B17B60" w:rsidRPr="00A42B3C" w:rsidRDefault="00B17B60" w:rsidP="00BD0D33">
      <w:pPr>
        <w:pStyle w:val="Heading1"/>
      </w:pPr>
      <w:bookmarkStart w:id="19" w:name="_Poland"/>
      <w:bookmarkEnd w:id="19"/>
      <w:r w:rsidRPr="00A42B3C">
        <w:t>Norway</w:t>
      </w:r>
    </w:p>
    <w:p w:rsidR="00B17B60" w:rsidRPr="00A42B3C" w:rsidRDefault="00B17B60" w:rsidP="00B17B60">
      <w:pPr>
        <w:rPr>
          <w:lang w:val="en-GB"/>
        </w:rPr>
      </w:pPr>
    </w:p>
    <w:tbl>
      <w:tblPr>
        <w:tblW w:w="1579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1"/>
        <w:gridCol w:w="2126"/>
        <w:gridCol w:w="4819"/>
        <w:gridCol w:w="3402"/>
        <w:gridCol w:w="993"/>
        <w:gridCol w:w="1984"/>
        <w:gridCol w:w="769"/>
      </w:tblGrid>
      <w:tr w:rsidR="00B17B60" w:rsidRPr="00A42B3C" w:rsidTr="001A0C25">
        <w:trPr>
          <w:trHeight w:val="475"/>
        </w:trPr>
        <w:tc>
          <w:tcPr>
            <w:tcW w:w="851"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B17B60" w:rsidRPr="00A42B3C" w:rsidRDefault="00B17B60" w:rsidP="00B17B60">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Ranking of priority</w:t>
            </w:r>
          </w:p>
        </w:tc>
        <w:tc>
          <w:tcPr>
            <w:tcW w:w="851"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B17B60" w:rsidRPr="00A42B3C" w:rsidRDefault="00B17B60" w:rsidP="00B17B60">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Location</w:t>
            </w:r>
          </w:p>
        </w:tc>
        <w:tc>
          <w:tcPr>
            <w:tcW w:w="2126"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B17B60" w:rsidRPr="00A42B3C" w:rsidRDefault="00B17B60" w:rsidP="00B17B60">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Precise passage concerned</w:t>
            </w:r>
          </w:p>
        </w:tc>
        <w:tc>
          <w:tcPr>
            <w:tcW w:w="4819"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B17B60" w:rsidRPr="00A42B3C" w:rsidRDefault="00B17B60" w:rsidP="00B17B60">
            <w:pP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Description of the Issue</w:t>
            </w:r>
          </w:p>
        </w:tc>
        <w:tc>
          <w:tcPr>
            <w:tcW w:w="3402"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B17B60" w:rsidRPr="00A42B3C" w:rsidRDefault="00B17B60" w:rsidP="00B17B60">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Justification for potential amendment</w:t>
            </w:r>
          </w:p>
        </w:tc>
        <w:tc>
          <w:tcPr>
            <w:tcW w:w="993"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B17B60" w:rsidRPr="00A42B3C" w:rsidRDefault="00B17B60" w:rsidP="00B17B60">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Level of seriousness</w:t>
            </w:r>
          </w:p>
        </w:tc>
        <w:tc>
          <w:tcPr>
            <w:tcW w:w="1984"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B17B60" w:rsidRPr="00A42B3C" w:rsidRDefault="00B17B60" w:rsidP="00B17B60">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Proposal for a wording update</w:t>
            </w:r>
          </w:p>
        </w:tc>
        <w:tc>
          <w:tcPr>
            <w:tcW w:w="769" w:type="dxa"/>
            <w:tcBorders>
              <w:top w:val="single" w:sz="4" w:space="0" w:color="auto"/>
              <w:left w:val="single" w:sz="4" w:space="0" w:color="auto"/>
              <w:bottom w:val="single" w:sz="4" w:space="0" w:color="auto"/>
              <w:right w:val="single" w:sz="4" w:space="0" w:color="auto"/>
            </w:tcBorders>
            <w:shd w:val="clear" w:color="auto" w:fill="DE821B"/>
          </w:tcPr>
          <w:p w:rsidR="00B17B60" w:rsidRPr="00A42B3C" w:rsidRDefault="00B17B60" w:rsidP="00B17B60">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Scope</w:t>
            </w:r>
          </w:p>
          <w:p w:rsidR="00B17B60" w:rsidRPr="00A42B3C" w:rsidRDefault="00B17B60" w:rsidP="00B17B60">
            <w:pPr>
              <w:jc w:val="center"/>
              <w:rPr>
                <w:rFonts w:asciiTheme="majorHAnsi" w:eastAsia="Times New Roman" w:hAnsiTheme="majorHAnsi" w:cstheme="majorHAnsi"/>
                <w:b/>
                <w:color w:val="FFFFFF" w:themeColor="background1"/>
                <w:sz w:val="16"/>
                <w:szCs w:val="18"/>
                <w:lang w:val="en-GB" w:eastAsia="en-GB"/>
              </w:rPr>
            </w:pPr>
          </w:p>
        </w:tc>
      </w:tr>
      <w:tr w:rsidR="00B17B60" w:rsidRPr="00A42B3C" w:rsidTr="001A0C25">
        <w:trPr>
          <w:trHeight w:val="475"/>
        </w:trPr>
        <w:tc>
          <w:tcPr>
            <w:tcW w:w="851" w:type="dxa"/>
            <w:tcBorders>
              <w:top w:val="single" w:sz="4" w:space="0" w:color="auto"/>
              <w:left w:val="single" w:sz="4" w:space="0" w:color="auto"/>
              <w:bottom w:val="single" w:sz="4" w:space="0" w:color="auto"/>
              <w:right w:val="single" w:sz="4" w:space="0" w:color="auto"/>
            </w:tcBorders>
            <w:vAlign w:val="center"/>
          </w:tcPr>
          <w:p w:rsidR="00B17B60" w:rsidRPr="00A42B3C" w:rsidRDefault="00B17B60" w:rsidP="00B17B60">
            <w:pPr>
              <w:spacing w:line="256" w:lineRule="auto"/>
              <w:jc w:val="both"/>
              <w:rPr>
                <w:rFonts w:ascii="Calibri" w:eastAsia="Times New Roman" w:hAnsi="Calibri" w:cs="Calibri"/>
                <w:color w:val="000000"/>
                <w:sz w:val="16"/>
                <w:szCs w:val="20"/>
                <w:lang w:val="en-GB" w:eastAsia="en-GB"/>
              </w:rPr>
            </w:pPr>
            <w:r w:rsidRPr="00A42B3C">
              <w:rPr>
                <w:rFonts w:ascii="Calibri" w:eastAsia="Times New Roman" w:hAnsi="Calibri" w:cs="Calibri"/>
                <w:color w:val="000000"/>
                <w:sz w:val="16"/>
                <w:szCs w:val="20"/>
                <w:lang w:val="en-GB" w:eastAsia="en-GB"/>
              </w:rPr>
              <w:t>1</w:t>
            </w:r>
          </w:p>
        </w:tc>
        <w:tc>
          <w:tcPr>
            <w:tcW w:w="851" w:type="dxa"/>
            <w:tcBorders>
              <w:top w:val="single" w:sz="4" w:space="0" w:color="auto"/>
              <w:left w:val="single" w:sz="4" w:space="0" w:color="auto"/>
              <w:bottom w:val="single" w:sz="4" w:space="0" w:color="auto"/>
              <w:right w:val="single" w:sz="4" w:space="0" w:color="auto"/>
            </w:tcBorders>
            <w:vAlign w:val="center"/>
          </w:tcPr>
          <w:p w:rsidR="00B17B60" w:rsidRPr="00A42B3C" w:rsidRDefault="00B17B60" w:rsidP="001A0C25">
            <w:pPr>
              <w:jc w:val="both"/>
              <w:rPr>
                <w:rFonts w:ascii="Calibri" w:hAnsi="Calibri" w:cs="Calibri"/>
                <w:color w:val="000000"/>
                <w:sz w:val="14"/>
                <w:szCs w:val="20"/>
                <w:lang w:val="en-GB"/>
              </w:rPr>
            </w:pPr>
            <w:r w:rsidRPr="00A42B3C">
              <w:rPr>
                <w:rFonts w:ascii="Calibri" w:hAnsi="Calibri" w:cs="Calibri"/>
                <w:color w:val="000000"/>
                <w:sz w:val="14"/>
                <w:szCs w:val="20"/>
                <w:lang w:val="en-GB"/>
              </w:rPr>
              <w:t>Directive, Article 16</w:t>
            </w:r>
          </w:p>
        </w:tc>
        <w:tc>
          <w:tcPr>
            <w:tcW w:w="2126" w:type="dxa"/>
            <w:tcBorders>
              <w:top w:val="single" w:sz="4" w:space="0" w:color="auto"/>
              <w:left w:val="single" w:sz="4" w:space="0" w:color="auto"/>
              <w:bottom w:val="single" w:sz="4" w:space="0" w:color="auto"/>
              <w:right w:val="single" w:sz="4" w:space="0" w:color="auto"/>
            </w:tcBorders>
            <w:vAlign w:val="center"/>
          </w:tcPr>
          <w:p w:rsidR="00B17B60" w:rsidRPr="00A42B3C" w:rsidRDefault="00B17B60" w:rsidP="001A0C25">
            <w:pPr>
              <w:jc w:val="both"/>
              <w:rPr>
                <w:rFonts w:ascii="Calibri" w:hAnsi="Calibri" w:cs="Calibri"/>
                <w:color w:val="000000"/>
                <w:sz w:val="14"/>
                <w:szCs w:val="20"/>
                <w:lang w:val="en-GB"/>
              </w:rPr>
            </w:pPr>
            <w:r w:rsidRPr="00A42B3C">
              <w:rPr>
                <w:rFonts w:ascii="Calibri" w:hAnsi="Calibri" w:cs="Calibri"/>
                <w:color w:val="000000"/>
                <w:sz w:val="14"/>
                <w:szCs w:val="20"/>
                <w:lang w:val="en-GB"/>
              </w:rPr>
              <w:t>Member States shall ensure that the assets referred to in (a) will only be eligible for satisfying the cover pool liquidity buffer requirement if those assets are not essential for maintaining the credit institution’s liquidity buffer referred to in Title II of Delegated Regulation (EU) 2015/61 at least at a level equal to the “net liquidity outflows over a 30 calendar day stress period” referred to in Article 4 of that Delegated Regulation, assuming that the net liquidity outflow of the covered bond programme over the same 30 calendar day stress period is zero on the grounds of a sufficient liquidity buffer contained in the cover pool by virtue of paragraphs 1 and 2.</w:t>
            </w:r>
          </w:p>
        </w:tc>
        <w:tc>
          <w:tcPr>
            <w:tcW w:w="4819" w:type="dxa"/>
            <w:tcBorders>
              <w:top w:val="single" w:sz="4" w:space="0" w:color="auto"/>
              <w:left w:val="single" w:sz="4" w:space="0" w:color="auto"/>
              <w:bottom w:val="single" w:sz="4" w:space="0" w:color="auto"/>
              <w:right w:val="single" w:sz="4" w:space="0" w:color="auto"/>
            </w:tcBorders>
            <w:vAlign w:val="center"/>
          </w:tcPr>
          <w:p w:rsidR="00B17B60" w:rsidRPr="00A42B3C" w:rsidRDefault="00B17B60" w:rsidP="001A0C25">
            <w:pPr>
              <w:jc w:val="both"/>
              <w:rPr>
                <w:rFonts w:ascii="Calibri" w:hAnsi="Calibri" w:cs="Calibri"/>
                <w:color w:val="000000"/>
                <w:sz w:val="14"/>
                <w:szCs w:val="20"/>
                <w:lang w:val="en-GB"/>
              </w:rPr>
            </w:pPr>
            <w:r w:rsidRPr="00A42B3C">
              <w:rPr>
                <w:rFonts w:ascii="Calibri" w:hAnsi="Calibri" w:cs="Calibri"/>
                <w:color w:val="000000"/>
                <w:sz w:val="14"/>
                <w:szCs w:val="20"/>
                <w:lang w:val="en-GB"/>
              </w:rPr>
              <w:t>The suggested amendment does not address the issue that liquid assets in the cover pool are deemed as being encumbered when calculating the LCR.</w:t>
            </w:r>
            <w:r w:rsidRPr="00A42B3C">
              <w:rPr>
                <w:rFonts w:ascii="Calibri" w:hAnsi="Calibri" w:cs="Calibri"/>
                <w:color w:val="000000"/>
                <w:sz w:val="14"/>
                <w:szCs w:val="20"/>
                <w:lang w:val="en-GB"/>
              </w:rPr>
              <w:br/>
            </w:r>
            <w:r w:rsidRPr="00A42B3C">
              <w:rPr>
                <w:rFonts w:ascii="Calibri" w:hAnsi="Calibri" w:cs="Calibri"/>
                <w:color w:val="000000"/>
                <w:sz w:val="14"/>
                <w:szCs w:val="20"/>
                <w:lang w:val="en-GB"/>
              </w:rPr>
              <w:br/>
              <w:t xml:space="preserve">In a situation where a covered bond reaches its maturity within the 30-day LCR-period an issuer cannot make use of its liquid assets in the cover pool to fulfil the LCR-requirement as these assets are encumbered. This would imply that the issuer will be perceived as being less liquid than what is reality. The consequence is that liquid assets need to be placed outside the cover pool to be deemed as unencumbered. This, however, would lower the over collateralisation or, worst case, may lead to a breach of the issuer’s overcollateralization requirement. This would be to the disadvantage of the investors and also lead to an issue similar to what the rapporteur pointed out with regards to LCR liquidity being left with the bank in case of insolvency/resolution.  </w:t>
            </w:r>
            <w:r w:rsidRPr="00A42B3C">
              <w:rPr>
                <w:rFonts w:ascii="Calibri" w:hAnsi="Calibri" w:cs="Calibri"/>
                <w:color w:val="000000"/>
                <w:sz w:val="14"/>
                <w:szCs w:val="20"/>
                <w:lang w:val="en-GB"/>
              </w:rPr>
              <w:br/>
            </w:r>
            <w:r w:rsidRPr="00A42B3C">
              <w:rPr>
                <w:rFonts w:ascii="Calibri" w:hAnsi="Calibri" w:cs="Calibri"/>
                <w:color w:val="000000"/>
                <w:sz w:val="14"/>
                <w:szCs w:val="20"/>
                <w:lang w:val="en-GB"/>
              </w:rPr>
              <w:br/>
              <w:t>To avoid the above issue or the need for extra liquid assets outside the cover pool (double counting and not segregated in insolvency/resolution), one should add a paragraph allowing for liquid assets in the cover pool, intended to cover payments in relation to covered bonds, that are encumbered for the benefit of the covered bond investors, to be considered unencumbered only in the calculation of covered bond related cash-flows in the LCR.</w:t>
            </w:r>
            <w:r w:rsidRPr="00A42B3C">
              <w:rPr>
                <w:rFonts w:ascii="Calibri" w:hAnsi="Calibri" w:cs="Calibri"/>
                <w:color w:val="000000"/>
                <w:sz w:val="14"/>
                <w:szCs w:val="20"/>
                <w:lang w:val="en-GB"/>
              </w:rPr>
              <w:br/>
            </w:r>
            <w:r w:rsidRPr="00A42B3C">
              <w:rPr>
                <w:rFonts w:ascii="Calibri" w:hAnsi="Calibri" w:cs="Calibri"/>
                <w:color w:val="000000"/>
                <w:sz w:val="14"/>
                <w:szCs w:val="20"/>
                <w:lang w:val="en-GB"/>
              </w:rPr>
              <w:br/>
              <w:t>If deemed necessary, the paragraph should be implemented by amending Commission Delegated Regulation (EU) 2015/61 on the LCR.</w:t>
            </w:r>
          </w:p>
        </w:tc>
        <w:tc>
          <w:tcPr>
            <w:tcW w:w="3402" w:type="dxa"/>
            <w:tcBorders>
              <w:top w:val="single" w:sz="4" w:space="0" w:color="auto"/>
              <w:left w:val="single" w:sz="4" w:space="0" w:color="auto"/>
              <w:bottom w:val="single" w:sz="4" w:space="0" w:color="auto"/>
              <w:right w:val="single" w:sz="4" w:space="0" w:color="auto"/>
            </w:tcBorders>
            <w:vAlign w:val="center"/>
          </w:tcPr>
          <w:p w:rsidR="00B17B60" w:rsidRPr="00A42B3C" w:rsidRDefault="00B17B60" w:rsidP="001A0C25">
            <w:pPr>
              <w:jc w:val="both"/>
              <w:rPr>
                <w:rFonts w:ascii="Calibri" w:hAnsi="Calibri" w:cs="Calibri"/>
                <w:color w:val="000000"/>
                <w:sz w:val="14"/>
                <w:szCs w:val="20"/>
                <w:lang w:val="en-GB"/>
              </w:rPr>
            </w:pPr>
            <w:r w:rsidRPr="00A42B3C">
              <w:rPr>
                <w:rFonts w:ascii="Calibri" w:hAnsi="Calibri" w:cs="Calibri"/>
                <w:color w:val="000000"/>
                <w:sz w:val="14"/>
                <w:szCs w:val="20"/>
                <w:lang w:val="en-GB"/>
              </w:rPr>
              <w:t>It is not rational to impose requirements that force issuers to have an additional liquidity buffer outside the cover pool, only to fulfil the LCR requirement. The purpose with the liquidity in the pool is to cover outgoing cashflows, and this liquidity is not in any way encumbered for being used to redeem maturing covered bonds. The two liquidity buffers will serve the same purpose of ensuring liquidity for the covered bond investors. Hence, the covered bonds directive/LCR delegated act should be amended so that the assets in a segregated liquidity buffer in the cover pool are deemed unencumbered when calculating the fulfilment of liquidity requirements.</w:t>
            </w:r>
          </w:p>
          <w:p w:rsidR="00B17B60" w:rsidRPr="00A42B3C" w:rsidRDefault="00B17B60" w:rsidP="001A0C25">
            <w:pPr>
              <w:jc w:val="both"/>
              <w:rPr>
                <w:rFonts w:ascii="Calibri" w:hAnsi="Calibri" w:cs="Calibri"/>
                <w:color w:val="000000"/>
                <w:sz w:val="14"/>
                <w:szCs w:val="20"/>
                <w:lang w:val="en-GB"/>
              </w:rPr>
            </w:pPr>
          </w:p>
          <w:p w:rsidR="00B17B60" w:rsidRPr="00A42B3C" w:rsidRDefault="00B17B60" w:rsidP="001A0C25">
            <w:pPr>
              <w:jc w:val="both"/>
              <w:rPr>
                <w:rFonts w:ascii="Calibri" w:hAnsi="Calibri" w:cs="Calibri"/>
                <w:color w:val="000000"/>
                <w:sz w:val="14"/>
                <w:szCs w:val="20"/>
                <w:lang w:val="en-GB"/>
              </w:rPr>
            </w:pPr>
            <w:r w:rsidRPr="00A42B3C">
              <w:rPr>
                <w:rFonts w:ascii="Calibri" w:hAnsi="Calibri" w:cs="Calibri"/>
                <w:color w:val="000000"/>
                <w:sz w:val="14"/>
                <w:szCs w:val="20"/>
                <w:lang w:val="en-GB"/>
              </w:rPr>
              <w:t>The possibility of double liquidity requirements was also raised as a concern in the EBA report on covered bonds from 2016. Also note that the topic has been commented by the Basel Committee on Banking Supervision in the second set of frequently asked questions (FAQs) on the LCR framework (June 2017). Their answer on question 16 states an alternative solution which enables amounts in the pool that will become unencumbered in the next 30 days to be considered as inflows.</w:t>
            </w:r>
          </w:p>
        </w:tc>
        <w:tc>
          <w:tcPr>
            <w:tcW w:w="993" w:type="dxa"/>
            <w:tcBorders>
              <w:top w:val="single" w:sz="4" w:space="0" w:color="auto"/>
              <w:left w:val="single" w:sz="4" w:space="0" w:color="auto"/>
              <w:bottom w:val="single" w:sz="4" w:space="0" w:color="auto"/>
              <w:right w:val="single" w:sz="4" w:space="0" w:color="auto"/>
            </w:tcBorders>
            <w:vAlign w:val="center"/>
          </w:tcPr>
          <w:p w:rsidR="00B17B60" w:rsidRPr="00A42B3C" w:rsidRDefault="00B17B60" w:rsidP="001A0C25">
            <w:pPr>
              <w:jc w:val="both"/>
              <w:rPr>
                <w:rFonts w:ascii="Calibri" w:eastAsia="Times New Roman" w:hAnsi="Calibri" w:cs="Calibri"/>
                <w:color w:val="000000"/>
                <w:sz w:val="14"/>
                <w:szCs w:val="14"/>
                <w:lang w:val="en-GB" w:eastAsia="en-GB"/>
              </w:rPr>
            </w:pPr>
            <w:r w:rsidRPr="00A42B3C">
              <w:rPr>
                <w:rFonts w:ascii="Calibri" w:hAnsi="Calibri" w:cs="Calibri"/>
                <w:color w:val="000000"/>
                <w:sz w:val="14"/>
                <w:szCs w:val="20"/>
                <w:lang w:val="en-GB"/>
              </w:rPr>
              <w:t>High</w:t>
            </w:r>
          </w:p>
        </w:tc>
        <w:tc>
          <w:tcPr>
            <w:tcW w:w="1984" w:type="dxa"/>
            <w:tcBorders>
              <w:top w:val="single" w:sz="4" w:space="0" w:color="auto"/>
              <w:left w:val="single" w:sz="4" w:space="0" w:color="auto"/>
              <w:bottom w:val="single" w:sz="4" w:space="0" w:color="auto"/>
              <w:right w:val="single" w:sz="4" w:space="0" w:color="auto"/>
            </w:tcBorders>
            <w:vAlign w:val="center"/>
          </w:tcPr>
          <w:p w:rsidR="001A0C25" w:rsidRPr="00A42B3C" w:rsidRDefault="001A0C25" w:rsidP="001A0C25">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Add the following paragraph in Art.16:</w:t>
            </w:r>
          </w:p>
          <w:p w:rsidR="00B17B60" w:rsidRPr="00A42B3C" w:rsidRDefault="001A0C25" w:rsidP="001A0C25">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7. Assets in the cover pool liquidity buffer as referred to in paragraph 1 should be considered unencumbered when calculating liquidity requirements specifically in relation to covered bond related cash flows, set out in other acts of Union Law.</w:t>
            </w:r>
          </w:p>
        </w:tc>
        <w:tc>
          <w:tcPr>
            <w:tcW w:w="769" w:type="dxa"/>
            <w:tcBorders>
              <w:top w:val="single" w:sz="4" w:space="0" w:color="auto"/>
              <w:left w:val="single" w:sz="4" w:space="0" w:color="auto"/>
              <w:bottom w:val="single" w:sz="4" w:space="0" w:color="auto"/>
              <w:right w:val="single" w:sz="4" w:space="0" w:color="auto"/>
            </w:tcBorders>
          </w:tcPr>
          <w:p w:rsidR="00B17B60" w:rsidRPr="00A42B3C" w:rsidRDefault="001A0C25" w:rsidP="00B17B60">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EU</w:t>
            </w:r>
          </w:p>
        </w:tc>
      </w:tr>
      <w:tr w:rsidR="001A0C25" w:rsidRPr="00A42B3C" w:rsidTr="001A0C25">
        <w:trPr>
          <w:trHeight w:val="475"/>
        </w:trPr>
        <w:tc>
          <w:tcPr>
            <w:tcW w:w="851" w:type="dxa"/>
            <w:tcBorders>
              <w:top w:val="single" w:sz="4" w:space="0" w:color="auto"/>
              <w:left w:val="single" w:sz="4" w:space="0" w:color="auto"/>
              <w:bottom w:val="single" w:sz="4" w:space="0" w:color="auto"/>
              <w:right w:val="single" w:sz="4" w:space="0" w:color="auto"/>
            </w:tcBorders>
            <w:vAlign w:val="center"/>
          </w:tcPr>
          <w:p w:rsidR="001A0C25" w:rsidRPr="00A42B3C" w:rsidRDefault="001A0C25" w:rsidP="001A0C25">
            <w:pPr>
              <w:spacing w:line="256" w:lineRule="auto"/>
              <w:jc w:val="both"/>
              <w:rPr>
                <w:rFonts w:ascii="Calibri" w:eastAsia="Times New Roman" w:hAnsi="Calibri" w:cs="Calibri"/>
                <w:color w:val="000000"/>
                <w:sz w:val="16"/>
                <w:szCs w:val="20"/>
                <w:lang w:val="en-GB" w:eastAsia="en-GB"/>
              </w:rPr>
            </w:pPr>
            <w:r w:rsidRPr="00A42B3C">
              <w:rPr>
                <w:rFonts w:ascii="Calibri" w:eastAsia="Times New Roman" w:hAnsi="Calibri" w:cs="Calibri"/>
                <w:color w:val="000000"/>
                <w:sz w:val="16"/>
                <w:szCs w:val="20"/>
                <w:lang w:val="en-GB" w:eastAsia="en-GB"/>
              </w:rPr>
              <w:t>2</w:t>
            </w:r>
          </w:p>
        </w:tc>
        <w:tc>
          <w:tcPr>
            <w:tcW w:w="851" w:type="dxa"/>
            <w:tcBorders>
              <w:top w:val="single" w:sz="4" w:space="0" w:color="auto"/>
              <w:left w:val="single" w:sz="4" w:space="0" w:color="auto"/>
              <w:bottom w:val="single" w:sz="4" w:space="0" w:color="auto"/>
              <w:right w:val="single" w:sz="4" w:space="0" w:color="auto"/>
            </w:tcBorders>
            <w:vAlign w:val="center"/>
          </w:tcPr>
          <w:p w:rsidR="001A0C25" w:rsidRPr="00A42B3C" w:rsidRDefault="001A0C25" w:rsidP="001A0C25">
            <w:pPr>
              <w:rPr>
                <w:rFonts w:ascii="Calibri" w:hAnsi="Calibri" w:cs="Calibri"/>
                <w:color w:val="000000"/>
                <w:sz w:val="14"/>
                <w:szCs w:val="20"/>
                <w:lang w:val="en-GB"/>
              </w:rPr>
            </w:pPr>
            <w:r w:rsidRPr="00A42B3C">
              <w:rPr>
                <w:rFonts w:ascii="Calibri" w:hAnsi="Calibri" w:cs="Calibri"/>
                <w:color w:val="000000"/>
                <w:sz w:val="14"/>
                <w:szCs w:val="20"/>
                <w:lang w:val="en-GB"/>
              </w:rPr>
              <w:t>Directive, Article 11</w:t>
            </w:r>
          </w:p>
        </w:tc>
        <w:tc>
          <w:tcPr>
            <w:tcW w:w="2126" w:type="dxa"/>
            <w:tcBorders>
              <w:top w:val="single" w:sz="4" w:space="0" w:color="auto"/>
              <w:left w:val="single" w:sz="4" w:space="0" w:color="auto"/>
              <w:bottom w:val="single" w:sz="4" w:space="0" w:color="auto"/>
              <w:right w:val="single" w:sz="4" w:space="0" w:color="auto"/>
            </w:tcBorders>
            <w:vAlign w:val="center"/>
          </w:tcPr>
          <w:p w:rsidR="001A0C25" w:rsidRPr="00A42B3C" w:rsidRDefault="001A0C25" w:rsidP="001A0C25">
            <w:pPr>
              <w:rPr>
                <w:rFonts w:ascii="Calibri" w:hAnsi="Calibri" w:cs="Calibri"/>
                <w:color w:val="000000"/>
                <w:sz w:val="14"/>
                <w:szCs w:val="20"/>
                <w:lang w:val="en-GB"/>
              </w:rPr>
            </w:pPr>
            <w:r w:rsidRPr="00A42B3C">
              <w:rPr>
                <w:rFonts w:ascii="Calibri" w:hAnsi="Calibri" w:cs="Calibri"/>
                <w:color w:val="000000"/>
                <w:sz w:val="14"/>
                <w:szCs w:val="20"/>
                <w:lang w:val="en-GB"/>
              </w:rPr>
              <w:t>2. For the purposes of ensuring compliance with the requirements listed in paragraph 1, Member States shall lay down rules for cover pool derivative contracts including at</w:t>
            </w:r>
            <w:r w:rsidRPr="00A42B3C">
              <w:rPr>
                <w:rFonts w:ascii="Calibri" w:hAnsi="Calibri" w:cs="Calibri"/>
                <w:color w:val="000000"/>
                <w:sz w:val="14"/>
                <w:szCs w:val="20"/>
                <w:lang w:val="en-GB"/>
              </w:rPr>
              <w:br/>
              <w:t>least:</w:t>
            </w:r>
            <w:r w:rsidRPr="00A42B3C">
              <w:rPr>
                <w:rFonts w:ascii="Calibri" w:hAnsi="Calibri" w:cs="Calibri"/>
                <w:color w:val="000000"/>
                <w:sz w:val="14"/>
                <w:szCs w:val="20"/>
                <w:lang w:val="en-GB"/>
              </w:rPr>
              <w:br/>
              <w:t>(…)</w:t>
            </w:r>
            <w:r w:rsidRPr="00A42B3C">
              <w:rPr>
                <w:rFonts w:ascii="Calibri" w:hAnsi="Calibri" w:cs="Calibri"/>
                <w:color w:val="000000"/>
                <w:sz w:val="14"/>
                <w:szCs w:val="20"/>
                <w:lang w:val="en-GB"/>
              </w:rPr>
              <w:br/>
              <w:t>(b) the limits on the amount of derivative contracts in the cover pool;</w:t>
            </w:r>
          </w:p>
        </w:tc>
        <w:tc>
          <w:tcPr>
            <w:tcW w:w="4819" w:type="dxa"/>
            <w:tcBorders>
              <w:top w:val="single" w:sz="4" w:space="0" w:color="auto"/>
              <w:left w:val="single" w:sz="4" w:space="0" w:color="auto"/>
              <w:bottom w:val="single" w:sz="4" w:space="0" w:color="auto"/>
              <w:right w:val="single" w:sz="4" w:space="0" w:color="auto"/>
            </w:tcBorders>
            <w:vAlign w:val="center"/>
          </w:tcPr>
          <w:p w:rsidR="001A0C25" w:rsidRPr="00A42B3C" w:rsidRDefault="001A0C25" w:rsidP="001A0C25">
            <w:pPr>
              <w:rPr>
                <w:rFonts w:ascii="Calibri" w:hAnsi="Calibri" w:cs="Calibri"/>
                <w:color w:val="000000"/>
                <w:sz w:val="14"/>
                <w:szCs w:val="20"/>
                <w:lang w:val="en-GB"/>
              </w:rPr>
            </w:pPr>
            <w:r w:rsidRPr="00A42B3C">
              <w:rPr>
                <w:rFonts w:ascii="Calibri" w:hAnsi="Calibri" w:cs="Calibri"/>
                <w:color w:val="000000"/>
                <w:sz w:val="14"/>
                <w:szCs w:val="20"/>
                <w:lang w:val="en-GB"/>
              </w:rPr>
              <w:t>The ECON-report does not suggest any amendments to article 11 regarding derivatives. However, it is still a concern that the directive proposes member state rules for limiting derivative contracts. Given the requirements in paragraph 1 of Article 11 (especially that derivative contracts are included in the cover pool for risk hedging purposes only, cf. Art. 11. 1. (a)), we do not see the need for a limit on the amount of derivative contracts in the cover pool.</w:t>
            </w:r>
          </w:p>
        </w:tc>
        <w:tc>
          <w:tcPr>
            <w:tcW w:w="3402" w:type="dxa"/>
            <w:tcBorders>
              <w:top w:val="single" w:sz="4" w:space="0" w:color="auto"/>
              <w:left w:val="single" w:sz="4" w:space="0" w:color="auto"/>
              <w:bottom w:val="single" w:sz="4" w:space="0" w:color="auto"/>
              <w:right w:val="single" w:sz="4" w:space="0" w:color="auto"/>
            </w:tcBorders>
            <w:vAlign w:val="center"/>
          </w:tcPr>
          <w:p w:rsidR="001A0C25" w:rsidRPr="00A42B3C" w:rsidRDefault="001A0C25" w:rsidP="001A0C25">
            <w:pPr>
              <w:jc w:val="both"/>
              <w:rPr>
                <w:rFonts w:ascii="Calibri" w:hAnsi="Calibri" w:cs="Calibri"/>
                <w:color w:val="000000"/>
                <w:sz w:val="14"/>
                <w:szCs w:val="20"/>
                <w:lang w:val="en-GB"/>
              </w:rPr>
            </w:pPr>
            <w:r w:rsidRPr="00A42B3C">
              <w:rPr>
                <w:rFonts w:ascii="Calibri" w:hAnsi="Calibri" w:cs="Calibri"/>
                <w:color w:val="000000"/>
                <w:sz w:val="14"/>
                <w:szCs w:val="20"/>
                <w:lang w:val="en-GB"/>
              </w:rPr>
              <w:t>From a risk perspective, it is not rational to limit the issuers hedging of risk. A limitation will be negative for the covered bond investors. Also, the impact from derivative contracts on the cover pool are dependent on market fluctuations outside of the issuers control.</w:t>
            </w:r>
          </w:p>
          <w:p w:rsidR="001A0C25" w:rsidRPr="00A42B3C" w:rsidRDefault="001A0C25" w:rsidP="001A0C25">
            <w:pPr>
              <w:jc w:val="both"/>
              <w:rPr>
                <w:rFonts w:ascii="Calibri" w:eastAsia="Times New Roman" w:hAnsi="Calibri" w:cs="Calibri"/>
                <w:color w:val="000000"/>
                <w:sz w:val="14"/>
                <w:szCs w:val="14"/>
                <w:lang w:val="en-GB" w:eastAsia="en-GB"/>
              </w:rPr>
            </w:pPr>
          </w:p>
        </w:tc>
        <w:tc>
          <w:tcPr>
            <w:tcW w:w="993" w:type="dxa"/>
            <w:tcBorders>
              <w:top w:val="single" w:sz="4" w:space="0" w:color="auto"/>
              <w:left w:val="single" w:sz="4" w:space="0" w:color="auto"/>
              <w:bottom w:val="single" w:sz="4" w:space="0" w:color="auto"/>
              <w:right w:val="single" w:sz="4" w:space="0" w:color="auto"/>
            </w:tcBorders>
            <w:vAlign w:val="center"/>
          </w:tcPr>
          <w:p w:rsidR="001A0C25" w:rsidRPr="00A42B3C" w:rsidRDefault="001A0C25" w:rsidP="001A0C25">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High</w:t>
            </w:r>
          </w:p>
        </w:tc>
        <w:tc>
          <w:tcPr>
            <w:tcW w:w="1984" w:type="dxa"/>
            <w:tcBorders>
              <w:top w:val="single" w:sz="4" w:space="0" w:color="auto"/>
              <w:left w:val="single" w:sz="4" w:space="0" w:color="auto"/>
              <w:bottom w:val="single" w:sz="4" w:space="0" w:color="auto"/>
              <w:right w:val="single" w:sz="4" w:space="0" w:color="auto"/>
            </w:tcBorders>
            <w:vAlign w:val="center"/>
          </w:tcPr>
          <w:p w:rsidR="001A0C25" w:rsidRPr="00A42B3C" w:rsidRDefault="001A0C25" w:rsidP="001A0C25">
            <w:pPr>
              <w:jc w:val="both"/>
              <w:rPr>
                <w:rFonts w:ascii="Calibri" w:hAnsi="Calibri" w:cs="Calibri"/>
                <w:color w:val="000000"/>
                <w:sz w:val="14"/>
                <w:szCs w:val="20"/>
                <w:lang w:val="en-GB"/>
              </w:rPr>
            </w:pPr>
            <w:r w:rsidRPr="00A42B3C">
              <w:rPr>
                <w:rFonts w:ascii="Calibri" w:hAnsi="Calibri" w:cs="Calibri"/>
                <w:color w:val="000000"/>
                <w:sz w:val="14"/>
                <w:szCs w:val="20"/>
                <w:lang w:val="en-GB"/>
              </w:rPr>
              <w:t>Delete Article 11 (b):</w:t>
            </w:r>
            <w:r w:rsidRPr="00A42B3C">
              <w:rPr>
                <w:rFonts w:ascii="Calibri" w:hAnsi="Calibri" w:cs="Calibri"/>
                <w:color w:val="000000"/>
                <w:sz w:val="14"/>
                <w:szCs w:val="20"/>
                <w:lang w:val="en-GB"/>
              </w:rPr>
              <w:br/>
              <w:t>(b) the limits on the amount of derivative contracts in the cover pool;</w:t>
            </w:r>
          </w:p>
          <w:p w:rsidR="001A0C25" w:rsidRPr="00A42B3C" w:rsidRDefault="001A0C25" w:rsidP="001A0C25">
            <w:pPr>
              <w:jc w:val="both"/>
              <w:rPr>
                <w:rFonts w:ascii="Calibri" w:eastAsia="Times New Roman" w:hAnsi="Calibri" w:cs="Calibri"/>
                <w:color w:val="000000"/>
                <w:sz w:val="14"/>
                <w:szCs w:val="14"/>
                <w:lang w:val="en-GB" w:eastAsia="en-GB"/>
              </w:rPr>
            </w:pPr>
          </w:p>
        </w:tc>
        <w:tc>
          <w:tcPr>
            <w:tcW w:w="769" w:type="dxa"/>
            <w:tcBorders>
              <w:top w:val="single" w:sz="4" w:space="0" w:color="auto"/>
              <w:left w:val="single" w:sz="4" w:space="0" w:color="auto"/>
              <w:bottom w:val="single" w:sz="4" w:space="0" w:color="auto"/>
              <w:right w:val="single" w:sz="4" w:space="0" w:color="auto"/>
            </w:tcBorders>
          </w:tcPr>
          <w:p w:rsidR="001A0C25" w:rsidRPr="00A42B3C" w:rsidRDefault="001A0C25" w:rsidP="001A0C25">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EU</w:t>
            </w:r>
          </w:p>
        </w:tc>
      </w:tr>
      <w:tr w:rsidR="001A0C25" w:rsidRPr="00A42B3C" w:rsidTr="001A0C25">
        <w:trPr>
          <w:trHeight w:val="389"/>
        </w:trPr>
        <w:tc>
          <w:tcPr>
            <w:tcW w:w="851" w:type="dxa"/>
            <w:tcBorders>
              <w:top w:val="single" w:sz="4" w:space="0" w:color="auto"/>
              <w:left w:val="single" w:sz="4" w:space="0" w:color="auto"/>
              <w:bottom w:val="single" w:sz="4" w:space="0" w:color="auto"/>
              <w:right w:val="single" w:sz="4" w:space="0" w:color="auto"/>
            </w:tcBorders>
            <w:vAlign w:val="center"/>
          </w:tcPr>
          <w:p w:rsidR="001A0C25" w:rsidRPr="00A42B3C" w:rsidRDefault="001A0C25" w:rsidP="001A0C25">
            <w:pPr>
              <w:spacing w:line="256" w:lineRule="auto"/>
              <w:jc w:val="both"/>
              <w:rPr>
                <w:rFonts w:ascii="Calibri" w:eastAsia="Times New Roman" w:hAnsi="Calibri" w:cs="Calibri"/>
                <w:color w:val="000000"/>
                <w:sz w:val="16"/>
                <w:szCs w:val="20"/>
                <w:lang w:val="en-GB" w:eastAsia="en-GB"/>
              </w:rPr>
            </w:pPr>
            <w:r w:rsidRPr="00A42B3C">
              <w:rPr>
                <w:rFonts w:ascii="Calibri" w:eastAsia="Times New Roman" w:hAnsi="Calibri" w:cs="Calibri"/>
                <w:color w:val="000000"/>
                <w:sz w:val="16"/>
                <w:szCs w:val="20"/>
                <w:lang w:val="en-GB" w:eastAsia="en-GB"/>
              </w:rPr>
              <w:t>3</w:t>
            </w:r>
          </w:p>
        </w:tc>
        <w:tc>
          <w:tcPr>
            <w:tcW w:w="851" w:type="dxa"/>
            <w:tcBorders>
              <w:top w:val="single" w:sz="4" w:space="0" w:color="auto"/>
              <w:left w:val="single" w:sz="4" w:space="0" w:color="auto"/>
              <w:bottom w:val="single" w:sz="4" w:space="0" w:color="auto"/>
              <w:right w:val="single" w:sz="4" w:space="0" w:color="auto"/>
            </w:tcBorders>
            <w:vAlign w:val="center"/>
          </w:tcPr>
          <w:p w:rsidR="001A0C25" w:rsidRPr="00A42B3C" w:rsidRDefault="001A0C25" w:rsidP="001A0C25">
            <w:pPr>
              <w:rPr>
                <w:rFonts w:ascii="Calibri" w:hAnsi="Calibri" w:cs="Calibri"/>
                <w:color w:val="000000"/>
                <w:sz w:val="14"/>
                <w:szCs w:val="20"/>
                <w:lang w:val="en-GB"/>
              </w:rPr>
            </w:pPr>
            <w:r w:rsidRPr="00A42B3C">
              <w:rPr>
                <w:rFonts w:ascii="Calibri" w:hAnsi="Calibri" w:cs="Calibri"/>
                <w:color w:val="000000"/>
                <w:sz w:val="14"/>
                <w:szCs w:val="20"/>
                <w:lang w:val="en-GB"/>
              </w:rPr>
              <w:t>Directive, Article 15</w:t>
            </w:r>
          </w:p>
        </w:tc>
        <w:tc>
          <w:tcPr>
            <w:tcW w:w="2126" w:type="dxa"/>
            <w:tcBorders>
              <w:top w:val="single" w:sz="4" w:space="0" w:color="auto"/>
              <w:left w:val="single" w:sz="4" w:space="0" w:color="auto"/>
              <w:bottom w:val="single" w:sz="4" w:space="0" w:color="auto"/>
              <w:right w:val="single" w:sz="4" w:space="0" w:color="auto"/>
            </w:tcBorders>
            <w:vAlign w:val="center"/>
          </w:tcPr>
          <w:p w:rsidR="001A0C25" w:rsidRPr="00A42B3C" w:rsidRDefault="001A0C25" w:rsidP="001A0C25">
            <w:pPr>
              <w:rPr>
                <w:rFonts w:ascii="Calibri" w:hAnsi="Calibri" w:cs="Calibri"/>
                <w:color w:val="000000"/>
                <w:sz w:val="14"/>
                <w:szCs w:val="20"/>
                <w:lang w:val="en-GB"/>
              </w:rPr>
            </w:pPr>
            <w:r w:rsidRPr="00A42B3C">
              <w:rPr>
                <w:rFonts w:ascii="Calibri" w:hAnsi="Calibri" w:cs="Calibri"/>
                <w:color w:val="000000"/>
                <w:sz w:val="14"/>
                <w:szCs w:val="20"/>
                <w:lang w:val="en-GB"/>
              </w:rPr>
              <w:t>Delete the following point in Article 15 1. (c):</w:t>
            </w:r>
            <w:r w:rsidRPr="00A42B3C">
              <w:rPr>
                <w:rFonts w:ascii="Calibri" w:hAnsi="Calibri" w:cs="Calibri"/>
                <w:color w:val="000000"/>
                <w:sz w:val="14"/>
                <w:szCs w:val="20"/>
                <w:lang w:val="en-GB"/>
              </w:rPr>
              <w:br/>
              <w:t>(iv) derivative contracts held in</w:t>
            </w:r>
            <w:r w:rsidRPr="00A42B3C">
              <w:rPr>
                <w:rFonts w:ascii="Calibri" w:hAnsi="Calibri" w:cs="Calibri"/>
                <w:color w:val="000000"/>
                <w:sz w:val="14"/>
                <w:szCs w:val="20"/>
                <w:lang w:val="en-GB"/>
              </w:rPr>
              <w:br/>
              <w:t>accordance with Article 11;</w:t>
            </w:r>
          </w:p>
        </w:tc>
        <w:tc>
          <w:tcPr>
            <w:tcW w:w="4819" w:type="dxa"/>
            <w:tcBorders>
              <w:top w:val="single" w:sz="4" w:space="0" w:color="auto"/>
              <w:left w:val="single" w:sz="4" w:space="0" w:color="auto"/>
              <w:bottom w:val="single" w:sz="4" w:space="0" w:color="auto"/>
              <w:right w:val="single" w:sz="4" w:space="0" w:color="auto"/>
            </w:tcBorders>
            <w:vAlign w:val="center"/>
          </w:tcPr>
          <w:p w:rsidR="001A0C25" w:rsidRPr="00A42B3C" w:rsidRDefault="001A0C25" w:rsidP="001A0C25">
            <w:pPr>
              <w:rPr>
                <w:rFonts w:ascii="Calibri" w:hAnsi="Calibri" w:cs="Calibri"/>
                <w:color w:val="000000"/>
                <w:sz w:val="14"/>
                <w:szCs w:val="20"/>
                <w:lang w:val="en-GB"/>
              </w:rPr>
            </w:pPr>
            <w:r w:rsidRPr="00A42B3C">
              <w:rPr>
                <w:rFonts w:ascii="Calibri" w:hAnsi="Calibri" w:cs="Calibri"/>
                <w:color w:val="000000"/>
                <w:sz w:val="14"/>
                <w:szCs w:val="20"/>
                <w:lang w:val="en-GB"/>
              </w:rPr>
              <w:t>Deleting point (iv) would imply that the value of derivative contracts cannot contribute to the coverage requirement. This would potentially lead to a substantial reduction of the coverage for issuers that have primary assets in a currency that differs from the currency of its outstanding covered bonds.</w:t>
            </w:r>
          </w:p>
        </w:tc>
        <w:tc>
          <w:tcPr>
            <w:tcW w:w="3402" w:type="dxa"/>
            <w:tcBorders>
              <w:top w:val="single" w:sz="4" w:space="0" w:color="auto"/>
              <w:left w:val="single" w:sz="4" w:space="0" w:color="auto"/>
              <w:bottom w:val="single" w:sz="4" w:space="0" w:color="auto"/>
              <w:right w:val="single" w:sz="4" w:space="0" w:color="auto"/>
            </w:tcBorders>
            <w:vAlign w:val="center"/>
          </w:tcPr>
          <w:p w:rsidR="001A0C25" w:rsidRPr="00A42B3C" w:rsidRDefault="001A0C25" w:rsidP="001A0C25">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 xml:space="preserve">Derivative contracts are entered into to fulfil risk hedging requirements and potentially increased coverage must be seen as a consequence of increased value of these contracts. Derivative contracts are not entered into with the intention of fulfilling coverage requirements. Derivative contracts may only be included in the cover pool when used for risk hedging purposes, cf. Article 11. </w:t>
            </w:r>
          </w:p>
          <w:p w:rsidR="001A0C25" w:rsidRPr="00A42B3C" w:rsidRDefault="001A0C25" w:rsidP="001A0C25">
            <w:pPr>
              <w:jc w:val="both"/>
              <w:rPr>
                <w:rFonts w:ascii="Calibri" w:eastAsia="Times New Roman" w:hAnsi="Calibri" w:cs="Calibri"/>
                <w:color w:val="000000"/>
                <w:sz w:val="14"/>
                <w:szCs w:val="14"/>
                <w:lang w:val="en-GB" w:eastAsia="en-GB"/>
              </w:rPr>
            </w:pPr>
          </w:p>
          <w:p w:rsidR="001A0C25" w:rsidRPr="00A42B3C" w:rsidRDefault="001A0C25" w:rsidP="001A0C25">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The proposed amendment may have a large negative impact for an issuer that has its cover pool assets in a different currency than its covered bonds. By not allowing for derivatives to contribute to the coverage, issuers could, in case of an adverse fx-rate movement, breach the coverage requirement. This could, effectively, lead to issuers being excluded from issuing covered bonds in a currency that differs from the denomination of its cover pool assets. Both effects are unacceptable. Hence, derivative contracts that fulfil the requirements in Article 11 should be included in the cover pool and contribute to the coverage.</w:t>
            </w:r>
          </w:p>
          <w:p w:rsidR="001A0C25" w:rsidRPr="00A42B3C" w:rsidRDefault="001A0C25" w:rsidP="001A0C25">
            <w:pPr>
              <w:jc w:val="both"/>
              <w:rPr>
                <w:rFonts w:ascii="Calibri" w:eastAsia="Times New Roman" w:hAnsi="Calibri" w:cs="Calibri"/>
                <w:color w:val="000000"/>
                <w:sz w:val="14"/>
                <w:szCs w:val="14"/>
                <w:lang w:val="en-GB" w:eastAsia="en-GB"/>
              </w:rPr>
            </w:pPr>
          </w:p>
          <w:p w:rsidR="001A0C25" w:rsidRPr="00A42B3C" w:rsidRDefault="001A0C25" w:rsidP="001A0C25">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Note that the above issue also stems from the term "nominal amount" not being defined in the directive. If the nominal amount in the coverage requirement calculation takes the derivatives into account when determining the liability value of the covered bonds, then this may also address the above issue.</w:t>
            </w:r>
          </w:p>
        </w:tc>
        <w:tc>
          <w:tcPr>
            <w:tcW w:w="993" w:type="dxa"/>
            <w:tcBorders>
              <w:top w:val="single" w:sz="4" w:space="0" w:color="auto"/>
              <w:left w:val="single" w:sz="4" w:space="0" w:color="auto"/>
              <w:bottom w:val="single" w:sz="4" w:space="0" w:color="auto"/>
              <w:right w:val="single" w:sz="4" w:space="0" w:color="auto"/>
            </w:tcBorders>
            <w:vAlign w:val="center"/>
          </w:tcPr>
          <w:p w:rsidR="001A0C25" w:rsidRPr="00A42B3C" w:rsidRDefault="001A0C25" w:rsidP="001A0C25">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High</w:t>
            </w:r>
          </w:p>
        </w:tc>
        <w:tc>
          <w:tcPr>
            <w:tcW w:w="1984" w:type="dxa"/>
            <w:tcBorders>
              <w:top w:val="single" w:sz="4" w:space="0" w:color="auto"/>
              <w:left w:val="single" w:sz="4" w:space="0" w:color="auto"/>
              <w:bottom w:val="single" w:sz="4" w:space="0" w:color="auto"/>
              <w:right w:val="single" w:sz="4" w:space="0" w:color="auto"/>
            </w:tcBorders>
            <w:vAlign w:val="center"/>
          </w:tcPr>
          <w:p w:rsidR="001A0C25" w:rsidRPr="00A42B3C" w:rsidRDefault="001A0C25" w:rsidP="001A0C25">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Refrain from deleting the following point in Article 15 1. (c):</w:t>
            </w:r>
          </w:p>
          <w:p w:rsidR="001A0C25" w:rsidRPr="00A42B3C" w:rsidRDefault="001A0C25" w:rsidP="001A0C25">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(iv) derivative contracts held in</w:t>
            </w:r>
          </w:p>
          <w:p w:rsidR="001A0C25" w:rsidRPr="00A42B3C" w:rsidRDefault="001A0C25" w:rsidP="001A0C25">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accordance with Article 11;</w:t>
            </w:r>
          </w:p>
        </w:tc>
        <w:tc>
          <w:tcPr>
            <w:tcW w:w="769" w:type="dxa"/>
            <w:tcBorders>
              <w:top w:val="single" w:sz="4" w:space="0" w:color="auto"/>
              <w:left w:val="single" w:sz="4" w:space="0" w:color="auto"/>
              <w:bottom w:val="single" w:sz="4" w:space="0" w:color="auto"/>
              <w:right w:val="single" w:sz="4" w:space="0" w:color="auto"/>
            </w:tcBorders>
          </w:tcPr>
          <w:p w:rsidR="001A0C25" w:rsidRPr="00A42B3C" w:rsidRDefault="00EA7097" w:rsidP="001A0C25">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EU national</w:t>
            </w:r>
          </w:p>
        </w:tc>
      </w:tr>
      <w:tr w:rsidR="001A0C25" w:rsidRPr="00A42B3C" w:rsidTr="001A0C25">
        <w:trPr>
          <w:trHeight w:val="475"/>
        </w:trPr>
        <w:tc>
          <w:tcPr>
            <w:tcW w:w="851" w:type="dxa"/>
            <w:tcBorders>
              <w:top w:val="single" w:sz="4" w:space="0" w:color="auto"/>
              <w:left w:val="single" w:sz="4" w:space="0" w:color="auto"/>
              <w:bottom w:val="single" w:sz="4" w:space="0" w:color="auto"/>
              <w:right w:val="single" w:sz="4" w:space="0" w:color="auto"/>
            </w:tcBorders>
            <w:vAlign w:val="center"/>
          </w:tcPr>
          <w:p w:rsidR="001A0C25" w:rsidRPr="00A42B3C" w:rsidRDefault="001A0C25" w:rsidP="001A0C25">
            <w:pPr>
              <w:spacing w:line="256" w:lineRule="auto"/>
              <w:jc w:val="both"/>
              <w:rPr>
                <w:rFonts w:ascii="Calibri" w:eastAsia="Times New Roman" w:hAnsi="Calibri" w:cs="Calibri"/>
                <w:color w:val="000000"/>
                <w:sz w:val="16"/>
                <w:szCs w:val="20"/>
                <w:lang w:val="en-GB" w:eastAsia="en-GB"/>
              </w:rPr>
            </w:pPr>
            <w:r w:rsidRPr="00A42B3C">
              <w:rPr>
                <w:rFonts w:ascii="Calibri" w:eastAsia="Times New Roman" w:hAnsi="Calibri" w:cs="Calibri"/>
                <w:color w:val="000000"/>
                <w:sz w:val="16"/>
                <w:szCs w:val="20"/>
                <w:lang w:val="en-GB" w:eastAsia="en-GB"/>
              </w:rPr>
              <w:t>4</w:t>
            </w:r>
          </w:p>
        </w:tc>
        <w:tc>
          <w:tcPr>
            <w:tcW w:w="851" w:type="dxa"/>
            <w:tcBorders>
              <w:top w:val="single" w:sz="4" w:space="0" w:color="auto"/>
              <w:left w:val="single" w:sz="4" w:space="0" w:color="auto"/>
              <w:bottom w:val="single" w:sz="4" w:space="0" w:color="auto"/>
              <w:right w:val="single" w:sz="4" w:space="0" w:color="auto"/>
            </w:tcBorders>
            <w:vAlign w:val="center"/>
          </w:tcPr>
          <w:p w:rsidR="001A0C25" w:rsidRPr="00A42B3C" w:rsidRDefault="001A0C25" w:rsidP="001A0C25">
            <w:pPr>
              <w:rPr>
                <w:rFonts w:ascii="Calibri" w:hAnsi="Calibri" w:cs="Calibri"/>
                <w:color w:val="000000"/>
                <w:sz w:val="14"/>
                <w:szCs w:val="20"/>
                <w:lang w:val="en-GB"/>
              </w:rPr>
            </w:pPr>
            <w:r w:rsidRPr="00A42B3C">
              <w:rPr>
                <w:rFonts w:ascii="Calibri" w:hAnsi="Calibri" w:cs="Calibri"/>
                <w:color w:val="000000"/>
                <w:sz w:val="14"/>
                <w:szCs w:val="20"/>
                <w:lang w:val="en-GB"/>
              </w:rPr>
              <w:t>Directive, Article 32</w:t>
            </w:r>
          </w:p>
        </w:tc>
        <w:tc>
          <w:tcPr>
            <w:tcW w:w="2126" w:type="dxa"/>
            <w:tcBorders>
              <w:top w:val="single" w:sz="4" w:space="0" w:color="auto"/>
              <w:left w:val="single" w:sz="4" w:space="0" w:color="auto"/>
              <w:bottom w:val="single" w:sz="4" w:space="0" w:color="auto"/>
              <w:right w:val="single" w:sz="4" w:space="0" w:color="auto"/>
            </w:tcBorders>
            <w:vAlign w:val="center"/>
          </w:tcPr>
          <w:p w:rsidR="001A0C25" w:rsidRPr="00A42B3C" w:rsidRDefault="001A0C25" w:rsidP="001A0C25">
            <w:pPr>
              <w:rPr>
                <w:rFonts w:ascii="Calibri" w:hAnsi="Calibri" w:cs="Calibri"/>
                <w:color w:val="000000"/>
                <w:sz w:val="14"/>
                <w:szCs w:val="20"/>
                <w:lang w:val="en-GB"/>
              </w:rPr>
            </w:pPr>
            <w:r w:rsidRPr="00A42B3C">
              <w:rPr>
                <w:rFonts w:ascii="Calibri" w:hAnsi="Calibri" w:cs="Calibri"/>
                <w:color w:val="000000"/>
                <w:sz w:val="14"/>
                <w:szCs w:val="20"/>
                <w:lang w:val="en-GB"/>
              </w:rPr>
              <w:t>1. Member States shall adopt and publish, by [to be inserted – entry into force + 1 year] at the latest, the laws, regulations and administrative provisions necessary to comply</w:t>
            </w:r>
            <w:r w:rsidRPr="00A42B3C">
              <w:rPr>
                <w:rFonts w:ascii="Calibri" w:hAnsi="Calibri" w:cs="Calibri"/>
                <w:color w:val="000000"/>
                <w:sz w:val="14"/>
                <w:szCs w:val="20"/>
                <w:lang w:val="en-GB"/>
              </w:rPr>
              <w:br/>
              <w:t>with this Directive. They shall forthwith communicate to the Commission the text of those provisions.</w:t>
            </w:r>
          </w:p>
        </w:tc>
        <w:tc>
          <w:tcPr>
            <w:tcW w:w="4819" w:type="dxa"/>
            <w:tcBorders>
              <w:top w:val="single" w:sz="4" w:space="0" w:color="auto"/>
              <w:left w:val="single" w:sz="4" w:space="0" w:color="auto"/>
              <w:bottom w:val="single" w:sz="4" w:space="0" w:color="auto"/>
              <w:right w:val="single" w:sz="4" w:space="0" w:color="auto"/>
            </w:tcBorders>
            <w:vAlign w:val="center"/>
          </w:tcPr>
          <w:p w:rsidR="001A0C25" w:rsidRPr="00A42B3C" w:rsidRDefault="001A0C25" w:rsidP="001A0C25">
            <w:pPr>
              <w:rPr>
                <w:rFonts w:ascii="Calibri" w:hAnsi="Calibri" w:cs="Calibri"/>
                <w:color w:val="000000"/>
                <w:sz w:val="14"/>
                <w:szCs w:val="20"/>
                <w:lang w:val="en-GB"/>
              </w:rPr>
            </w:pPr>
            <w:r w:rsidRPr="00A42B3C">
              <w:rPr>
                <w:rFonts w:ascii="Calibri" w:hAnsi="Calibri" w:cs="Calibri"/>
                <w:color w:val="000000"/>
                <w:sz w:val="14"/>
                <w:szCs w:val="20"/>
                <w:lang w:val="en-GB"/>
              </w:rPr>
              <w:t>The transposition period should be extended to 2 years.</w:t>
            </w:r>
          </w:p>
        </w:tc>
        <w:tc>
          <w:tcPr>
            <w:tcW w:w="3402" w:type="dxa"/>
            <w:tcBorders>
              <w:top w:val="single" w:sz="4" w:space="0" w:color="auto"/>
              <w:left w:val="single" w:sz="4" w:space="0" w:color="auto"/>
              <w:bottom w:val="single" w:sz="4" w:space="0" w:color="auto"/>
              <w:right w:val="single" w:sz="4" w:space="0" w:color="auto"/>
            </w:tcBorders>
            <w:vAlign w:val="center"/>
          </w:tcPr>
          <w:p w:rsidR="001A0C25" w:rsidRPr="00A42B3C" w:rsidRDefault="001A0C25" w:rsidP="001A0C25">
            <w:pPr>
              <w:jc w:val="both"/>
              <w:rPr>
                <w:rFonts w:ascii="Calibri" w:hAnsi="Calibri" w:cs="Calibri"/>
                <w:color w:val="000000"/>
                <w:sz w:val="14"/>
                <w:szCs w:val="20"/>
                <w:lang w:val="en-GB"/>
              </w:rPr>
            </w:pPr>
            <w:r w:rsidRPr="00A42B3C">
              <w:rPr>
                <w:rFonts w:ascii="Calibri" w:hAnsi="Calibri" w:cs="Calibri"/>
                <w:color w:val="000000"/>
                <w:sz w:val="14"/>
                <w:szCs w:val="20"/>
                <w:lang w:val="en-GB"/>
              </w:rPr>
              <w:t>The ECON-report does not propose any amendments to article 32 on the transposition period. However, allowing a longer transposition period will ensure a correct implementation in the different jurisdictions, enabling a successful transition to a harmonized and well-functioning covered bonds market in Europe.</w:t>
            </w:r>
          </w:p>
          <w:p w:rsidR="001A0C25" w:rsidRPr="00A42B3C" w:rsidRDefault="001A0C25" w:rsidP="001A0C25">
            <w:pPr>
              <w:jc w:val="both"/>
              <w:rPr>
                <w:rFonts w:ascii="Calibri" w:eastAsia="Times New Roman" w:hAnsi="Calibri" w:cs="Calibri"/>
                <w:color w:val="000000"/>
                <w:sz w:val="14"/>
                <w:szCs w:val="14"/>
                <w:lang w:val="en-GB" w:eastAsia="en-GB"/>
              </w:rPr>
            </w:pPr>
          </w:p>
        </w:tc>
        <w:tc>
          <w:tcPr>
            <w:tcW w:w="993" w:type="dxa"/>
            <w:tcBorders>
              <w:top w:val="single" w:sz="4" w:space="0" w:color="auto"/>
              <w:left w:val="single" w:sz="4" w:space="0" w:color="auto"/>
              <w:bottom w:val="single" w:sz="4" w:space="0" w:color="auto"/>
              <w:right w:val="single" w:sz="4" w:space="0" w:color="auto"/>
            </w:tcBorders>
            <w:vAlign w:val="center"/>
          </w:tcPr>
          <w:p w:rsidR="001A0C25" w:rsidRPr="00A42B3C" w:rsidRDefault="001A0C25" w:rsidP="001A0C25">
            <w:pPr>
              <w:jc w:val="both"/>
              <w:rPr>
                <w:rFonts w:ascii="Calibri" w:eastAsia="Times New Roman" w:hAnsi="Calibri" w:cs="Calibri"/>
                <w:color w:val="000000"/>
                <w:sz w:val="14"/>
                <w:szCs w:val="14"/>
                <w:lang w:val="en-GB" w:eastAsia="en-GB"/>
              </w:rPr>
            </w:pPr>
          </w:p>
        </w:tc>
        <w:tc>
          <w:tcPr>
            <w:tcW w:w="1984" w:type="dxa"/>
            <w:tcBorders>
              <w:top w:val="single" w:sz="4" w:space="0" w:color="auto"/>
              <w:left w:val="single" w:sz="4" w:space="0" w:color="auto"/>
              <w:bottom w:val="single" w:sz="4" w:space="0" w:color="auto"/>
              <w:right w:val="single" w:sz="4" w:space="0" w:color="auto"/>
            </w:tcBorders>
            <w:vAlign w:val="center"/>
          </w:tcPr>
          <w:p w:rsidR="001A0C25" w:rsidRPr="00A42B3C" w:rsidRDefault="001A0C25" w:rsidP="001A0C25">
            <w:pPr>
              <w:jc w:val="both"/>
              <w:rPr>
                <w:rFonts w:ascii="Calibri" w:hAnsi="Calibri" w:cs="Calibri"/>
                <w:color w:val="000000"/>
                <w:sz w:val="14"/>
                <w:szCs w:val="20"/>
                <w:lang w:val="en-GB"/>
              </w:rPr>
            </w:pPr>
            <w:r w:rsidRPr="00A42B3C">
              <w:rPr>
                <w:rFonts w:ascii="Calibri" w:hAnsi="Calibri" w:cs="Calibri"/>
                <w:color w:val="000000"/>
                <w:sz w:val="14"/>
                <w:szCs w:val="20"/>
                <w:lang w:val="en-GB"/>
              </w:rPr>
              <w:t>1. Member States shall adopt and publish, by [to be inserted – entry into force + 2 years] at the latest, the laws, regulations and administrative provisions necessary to comply</w:t>
            </w:r>
            <w:r w:rsidRPr="00A42B3C">
              <w:rPr>
                <w:rFonts w:ascii="Calibri" w:hAnsi="Calibri" w:cs="Calibri"/>
                <w:color w:val="000000"/>
                <w:sz w:val="14"/>
                <w:szCs w:val="20"/>
                <w:lang w:val="en-GB"/>
              </w:rPr>
              <w:br/>
              <w:t>with this Directive. They shall forthwith communicate to the Commission the text of those provisions.</w:t>
            </w:r>
          </w:p>
          <w:p w:rsidR="001A0C25" w:rsidRPr="00A42B3C" w:rsidRDefault="001A0C25" w:rsidP="001A0C25">
            <w:pPr>
              <w:jc w:val="both"/>
              <w:rPr>
                <w:rFonts w:ascii="Calibri" w:eastAsia="Times New Roman" w:hAnsi="Calibri" w:cs="Calibri"/>
                <w:color w:val="000000"/>
                <w:sz w:val="14"/>
                <w:szCs w:val="14"/>
                <w:lang w:val="en-GB" w:eastAsia="en-GB"/>
              </w:rPr>
            </w:pPr>
          </w:p>
        </w:tc>
        <w:tc>
          <w:tcPr>
            <w:tcW w:w="769" w:type="dxa"/>
            <w:tcBorders>
              <w:top w:val="single" w:sz="4" w:space="0" w:color="auto"/>
              <w:left w:val="single" w:sz="4" w:space="0" w:color="auto"/>
              <w:bottom w:val="single" w:sz="4" w:space="0" w:color="auto"/>
              <w:right w:val="single" w:sz="4" w:space="0" w:color="auto"/>
            </w:tcBorders>
          </w:tcPr>
          <w:p w:rsidR="001A0C25" w:rsidRPr="00A42B3C" w:rsidRDefault="001A0C25" w:rsidP="001A0C25">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EU</w:t>
            </w:r>
          </w:p>
        </w:tc>
      </w:tr>
    </w:tbl>
    <w:p w:rsidR="00B17B60" w:rsidRPr="00A42B3C" w:rsidRDefault="00B17B60" w:rsidP="00B17B60">
      <w:pPr>
        <w:rPr>
          <w:lang w:val="en-GB"/>
        </w:rPr>
      </w:pPr>
    </w:p>
    <w:p w:rsidR="001A0C25" w:rsidRPr="00A42B3C" w:rsidRDefault="001A0C25">
      <w:pPr>
        <w:rPr>
          <w:rFonts w:asciiTheme="majorHAnsi" w:hAnsiTheme="majorHAnsi" w:cstheme="majorHAnsi"/>
          <w:i/>
          <w:sz w:val="20"/>
          <w:lang w:val="en-GB"/>
        </w:rPr>
      </w:pPr>
      <w:r w:rsidRPr="00A42B3C">
        <w:rPr>
          <w:rFonts w:asciiTheme="majorHAnsi" w:hAnsiTheme="majorHAnsi" w:cstheme="majorHAnsi"/>
          <w:i/>
          <w:sz w:val="20"/>
          <w:lang w:val="en-GB"/>
        </w:rPr>
        <w:t>Source: Finance Norway</w:t>
      </w:r>
    </w:p>
    <w:p w:rsidR="00B17B60" w:rsidRPr="00A42B3C" w:rsidRDefault="001A0C25">
      <w:pPr>
        <w:rPr>
          <w:lang w:val="en-GB"/>
        </w:rPr>
      </w:pPr>
      <w:r w:rsidRPr="00A42B3C">
        <w:rPr>
          <w:lang w:val="en-GB"/>
        </w:rPr>
        <w:br w:type="page"/>
      </w:r>
    </w:p>
    <w:p w:rsidR="00AF6141" w:rsidRPr="00A42B3C" w:rsidRDefault="0083395F" w:rsidP="00BD0D33">
      <w:pPr>
        <w:pStyle w:val="Heading1"/>
      </w:pPr>
      <w:bookmarkStart w:id="20" w:name="_Poland_1"/>
      <w:bookmarkEnd w:id="20"/>
      <w:r w:rsidRPr="00A42B3C">
        <w:t>Poland</w:t>
      </w:r>
    </w:p>
    <w:tbl>
      <w:tblPr>
        <w:tblW w:w="1579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92"/>
        <w:gridCol w:w="2127"/>
        <w:gridCol w:w="1134"/>
        <w:gridCol w:w="5386"/>
        <w:gridCol w:w="992"/>
        <w:gridCol w:w="3544"/>
        <w:gridCol w:w="769"/>
      </w:tblGrid>
      <w:tr w:rsidR="008D7B95" w:rsidRPr="00A42B3C" w:rsidTr="00085D7C">
        <w:trPr>
          <w:trHeight w:val="475"/>
        </w:trPr>
        <w:tc>
          <w:tcPr>
            <w:tcW w:w="851"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1A3F26" w:rsidRPr="00A42B3C" w:rsidRDefault="001A3F26" w:rsidP="000D60EE">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Ranking of priority</w:t>
            </w:r>
          </w:p>
        </w:tc>
        <w:tc>
          <w:tcPr>
            <w:tcW w:w="992"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1A3F26" w:rsidRPr="00A42B3C" w:rsidRDefault="001A3F26" w:rsidP="000D60EE">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Location</w:t>
            </w:r>
          </w:p>
        </w:tc>
        <w:tc>
          <w:tcPr>
            <w:tcW w:w="2127"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1A3F26" w:rsidRPr="00A42B3C" w:rsidRDefault="001A3F26" w:rsidP="000D60EE">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Precise passage concerned</w:t>
            </w:r>
          </w:p>
        </w:tc>
        <w:tc>
          <w:tcPr>
            <w:tcW w:w="1134"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1A3F26" w:rsidRPr="00A42B3C" w:rsidRDefault="001A3F26" w:rsidP="000D60EE">
            <w:pP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Description of the Issue</w:t>
            </w:r>
          </w:p>
        </w:tc>
        <w:tc>
          <w:tcPr>
            <w:tcW w:w="5386"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1A3F26" w:rsidRPr="00A42B3C" w:rsidRDefault="001A3F26" w:rsidP="000D60EE">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Justification for potential amendment</w:t>
            </w:r>
          </w:p>
        </w:tc>
        <w:tc>
          <w:tcPr>
            <w:tcW w:w="992"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1A3F26" w:rsidRPr="00A42B3C" w:rsidRDefault="001A3F26" w:rsidP="000D60EE">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Level of seriousness</w:t>
            </w:r>
          </w:p>
        </w:tc>
        <w:tc>
          <w:tcPr>
            <w:tcW w:w="3544"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1A3F26" w:rsidRPr="00A42B3C" w:rsidRDefault="001A3F26" w:rsidP="000D60EE">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Proposal for a wording update</w:t>
            </w:r>
          </w:p>
        </w:tc>
        <w:tc>
          <w:tcPr>
            <w:tcW w:w="769" w:type="dxa"/>
            <w:tcBorders>
              <w:top w:val="single" w:sz="4" w:space="0" w:color="auto"/>
              <w:left w:val="single" w:sz="4" w:space="0" w:color="auto"/>
              <w:bottom w:val="single" w:sz="4" w:space="0" w:color="auto"/>
              <w:right w:val="single" w:sz="4" w:space="0" w:color="auto"/>
            </w:tcBorders>
            <w:shd w:val="clear" w:color="auto" w:fill="DE821B"/>
          </w:tcPr>
          <w:p w:rsidR="001A3F26" w:rsidRPr="00A42B3C" w:rsidRDefault="001A3F26" w:rsidP="000D60EE">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Scope</w:t>
            </w:r>
          </w:p>
          <w:p w:rsidR="001A3F26" w:rsidRPr="00A42B3C" w:rsidRDefault="001A3F26" w:rsidP="000D60EE">
            <w:pPr>
              <w:jc w:val="center"/>
              <w:rPr>
                <w:rFonts w:asciiTheme="majorHAnsi" w:eastAsia="Times New Roman" w:hAnsiTheme="majorHAnsi" w:cstheme="majorHAnsi"/>
                <w:b/>
                <w:color w:val="FFFFFF" w:themeColor="background1"/>
                <w:sz w:val="16"/>
                <w:szCs w:val="18"/>
                <w:lang w:val="en-GB" w:eastAsia="en-GB"/>
              </w:rPr>
            </w:pPr>
          </w:p>
        </w:tc>
      </w:tr>
      <w:tr w:rsidR="008D7B95" w:rsidRPr="00A42B3C" w:rsidTr="00085D7C">
        <w:trPr>
          <w:trHeight w:val="475"/>
        </w:trPr>
        <w:tc>
          <w:tcPr>
            <w:tcW w:w="851" w:type="dxa"/>
            <w:tcBorders>
              <w:top w:val="single" w:sz="4" w:space="0" w:color="auto"/>
              <w:left w:val="single" w:sz="4" w:space="0" w:color="auto"/>
              <w:bottom w:val="single" w:sz="4" w:space="0" w:color="auto"/>
              <w:right w:val="single" w:sz="4" w:space="0" w:color="auto"/>
            </w:tcBorders>
            <w:vAlign w:val="center"/>
          </w:tcPr>
          <w:p w:rsidR="001A3F26" w:rsidRPr="00A42B3C" w:rsidRDefault="001A3F26" w:rsidP="000B7E74">
            <w:pPr>
              <w:spacing w:line="256" w:lineRule="auto"/>
              <w:jc w:val="both"/>
              <w:rPr>
                <w:rFonts w:ascii="Calibri" w:eastAsia="Times New Roman" w:hAnsi="Calibri" w:cs="Calibri"/>
                <w:color w:val="000000"/>
                <w:sz w:val="16"/>
                <w:szCs w:val="20"/>
                <w:lang w:val="en-GB" w:eastAsia="en-GB"/>
              </w:rPr>
            </w:pPr>
            <w:r w:rsidRPr="00A42B3C">
              <w:rPr>
                <w:rFonts w:ascii="Calibri" w:eastAsia="Times New Roman" w:hAnsi="Calibri" w:cs="Calibri"/>
                <w:color w:val="000000"/>
                <w:sz w:val="16"/>
                <w:szCs w:val="20"/>
                <w:lang w:val="en-GB" w:eastAsia="en-GB"/>
              </w:rPr>
              <w:t>1</w:t>
            </w:r>
          </w:p>
        </w:tc>
        <w:tc>
          <w:tcPr>
            <w:tcW w:w="992" w:type="dxa"/>
            <w:tcBorders>
              <w:top w:val="single" w:sz="4" w:space="0" w:color="auto"/>
              <w:left w:val="single" w:sz="4" w:space="0" w:color="auto"/>
              <w:bottom w:val="single" w:sz="4" w:space="0" w:color="auto"/>
              <w:right w:val="single" w:sz="4" w:space="0" w:color="auto"/>
            </w:tcBorders>
            <w:vAlign w:val="center"/>
          </w:tcPr>
          <w:p w:rsidR="001A3F26" w:rsidRPr="00A42B3C" w:rsidRDefault="001A3F26" w:rsidP="000B7E74">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 xml:space="preserve">Regulation - Amendment 14/ Amendment </w:t>
            </w:r>
            <w:r w:rsidR="00EA7097" w:rsidRPr="00A42B3C">
              <w:rPr>
                <w:rFonts w:ascii="Calibri" w:eastAsia="Times New Roman" w:hAnsi="Calibri" w:cs="Calibri"/>
                <w:color w:val="000000"/>
                <w:sz w:val="14"/>
                <w:szCs w:val="14"/>
                <w:lang w:val="en-GB" w:eastAsia="en-GB"/>
              </w:rPr>
              <w:t>4 and</w:t>
            </w:r>
            <w:r w:rsidRPr="00A42B3C">
              <w:rPr>
                <w:rFonts w:ascii="Calibri" w:eastAsia="Times New Roman" w:hAnsi="Calibri" w:cs="Calibri"/>
                <w:color w:val="000000"/>
                <w:sz w:val="14"/>
                <w:szCs w:val="14"/>
                <w:lang w:val="en-GB" w:eastAsia="en-GB"/>
              </w:rPr>
              <w:t xml:space="preserve"> Directive - Amendment No 7</w:t>
            </w:r>
          </w:p>
        </w:tc>
        <w:tc>
          <w:tcPr>
            <w:tcW w:w="2127" w:type="dxa"/>
            <w:tcBorders>
              <w:top w:val="single" w:sz="4" w:space="0" w:color="auto"/>
              <w:left w:val="single" w:sz="4" w:space="0" w:color="auto"/>
              <w:bottom w:val="single" w:sz="4" w:space="0" w:color="auto"/>
              <w:right w:val="single" w:sz="4" w:space="0" w:color="auto"/>
            </w:tcBorders>
            <w:vAlign w:val="center"/>
          </w:tcPr>
          <w:p w:rsidR="00E31BF6" w:rsidRPr="00A42B3C" w:rsidRDefault="00E31BF6" w:rsidP="00E31BF6">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Proposal for a regulation</w:t>
            </w:r>
          </w:p>
          <w:p w:rsidR="00E31BF6" w:rsidRPr="00A42B3C" w:rsidRDefault="00E31BF6" w:rsidP="00E31BF6">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Article 1 – paragraph 1 – point 1 – point e</w:t>
            </w:r>
          </w:p>
          <w:p w:rsidR="00E31BF6" w:rsidRPr="00A42B3C" w:rsidRDefault="00E31BF6" w:rsidP="00E31BF6">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Regulation (EU) 575/2013</w:t>
            </w:r>
          </w:p>
          <w:p w:rsidR="00E31BF6" w:rsidRPr="00A42B3C" w:rsidRDefault="00E31BF6" w:rsidP="00E31BF6">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Art. 129 7 b. The risk weights provided for in paragraphs 4, 5, and 8 shall be increased if the covered bond was issued with an extendable maturity structure under which its maturity can be extended by more than one year. The increase of the risk weight shall be equal to</w:t>
            </w:r>
          </w:p>
          <w:p w:rsidR="00E31BF6" w:rsidRPr="00A42B3C" w:rsidRDefault="00E31BF6" w:rsidP="00E31BF6">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- 5 percentage points if the maturity can be extended by at most three years.</w:t>
            </w:r>
          </w:p>
          <w:p w:rsidR="00E31BF6" w:rsidRPr="00A42B3C" w:rsidRDefault="00E31BF6" w:rsidP="00E31BF6">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- 10 percentage points if the maturity can be extended by at most five years.</w:t>
            </w:r>
          </w:p>
          <w:p w:rsidR="00E31BF6" w:rsidRPr="00A42B3C" w:rsidRDefault="00E31BF6" w:rsidP="00E31BF6">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- 15 percentage points if the maturity can be extended by at most ten years.</w:t>
            </w:r>
          </w:p>
          <w:p w:rsidR="00E31BF6" w:rsidRPr="00A42B3C" w:rsidRDefault="00E31BF6" w:rsidP="00E31BF6">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- 20 percentage points if the maturity can be extended by more than ten years.</w:t>
            </w:r>
          </w:p>
          <w:p w:rsidR="001A3F26" w:rsidRPr="00A42B3C" w:rsidRDefault="00E31BF6" w:rsidP="00E31BF6">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For the purpose of this Article, the length of a possible maturity extension is always the possible extension at the date of issue.</w:t>
            </w:r>
          </w:p>
        </w:tc>
        <w:tc>
          <w:tcPr>
            <w:tcW w:w="1134" w:type="dxa"/>
            <w:tcBorders>
              <w:top w:val="single" w:sz="4" w:space="0" w:color="auto"/>
              <w:left w:val="single" w:sz="4" w:space="0" w:color="auto"/>
              <w:bottom w:val="single" w:sz="4" w:space="0" w:color="auto"/>
              <w:right w:val="single" w:sz="4" w:space="0" w:color="auto"/>
            </w:tcBorders>
            <w:vAlign w:val="center"/>
          </w:tcPr>
          <w:p w:rsidR="001A3F26" w:rsidRPr="00A42B3C" w:rsidRDefault="001A3F26" w:rsidP="000B7E74">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 xml:space="preserve">Proposed amendment increases the risk weights for covered </w:t>
            </w:r>
            <w:r w:rsidR="00EA7097" w:rsidRPr="00A42B3C">
              <w:rPr>
                <w:rFonts w:ascii="Calibri" w:eastAsia="Times New Roman" w:hAnsi="Calibri" w:cs="Calibri"/>
                <w:color w:val="000000"/>
                <w:sz w:val="14"/>
                <w:szCs w:val="14"/>
                <w:lang w:val="en-GB" w:eastAsia="en-GB"/>
              </w:rPr>
              <w:t>bond issued</w:t>
            </w:r>
            <w:r w:rsidRPr="00A42B3C">
              <w:rPr>
                <w:rFonts w:ascii="Calibri" w:eastAsia="Times New Roman" w:hAnsi="Calibri" w:cs="Calibri"/>
                <w:color w:val="000000"/>
                <w:sz w:val="14"/>
                <w:szCs w:val="14"/>
                <w:lang w:val="en-GB" w:eastAsia="en-GB"/>
              </w:rPr>
              <w:t xml:space="preserve"> with an extendable maturity structure under which its maturity can be extended by more than one year.</w:t>
            </w:r>
          </w:p>
        </w:tc>
        <w:tc>
          <w:tcPr>
            <w:tcW w:w="5386" w:type="dxa"/>
            <w:tcBorders>
              <w:top w:val="single" w:sz="4" w:space="0" w:color="auto"/>
              <w:left w:val="single" w:sz="4" w:space="0" w:color="auto"/>
              <w:bottom w:val="single" w:sz="4" w:space="0" w:color="auto"/>
              <w:right w:val="single" w:sz="4" w:space="0" w:color="auto"/>
            </w:tcBorders>
            <w:vAlign w:val="center"/>
          </w:tcPr>
          <w:p w:rsidR="00E31BF6" w:rsidRPr="00A42B3C" w:rsidRDefault="00E31BF6" w:rsidP="00E31BF6">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 xml:space="preserve">We believe that due to the following reasons the risk weights for the covered bond issued with an extendable maturity </w:t>
            </w:r>
            <w:r w:rsidR="00EA7097" w:rsidRPr="00A42B3C">
              <w:rPr>
                <w:rFonts w:ascii="Calibri" w:eastAsia="Times New Roman" w:hAnsi="Calibri" w:cs="Calibri"/>
                <w:color w:val="000000"/>
                <w:sz w:val="14"/>
                <w:szCs w:val="14"/>
                <w:lang w:val="en-GB" w:eastAsia="en-GB"/>
              </w:rPr>
              <w:t>structure should</w:t>
            </w:r>
            <w:r w:rsidRPr="00A42B3C">
              <w:rPr>
                <w:rFonts w:ascii="Calibri" w:eastAsia="Times New Roman" w:hAnsi="Calibri" w:cs="Calibri"/>
                <w:color w:val="000000"/>
                <w:sz w:val="14"/>
                <w:szCs w:val="14"/>
                <w:lang w:val="en-GB" w:eastAsia="en-GB"/>
              </w:rPr>
              <w:t xml:space="preserve"> not be increased:</w:t>
            </w:r>
          </w:p>
          <w:p w:rsidR="00E31BF6" w:rsidRPr="00A42B3C" w:rsidRDefault="00E31BF6" w:rsidP="00E31BF6">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 xml:space="preserve">1. The idea behind the extendible maturity structures is to reduce the risk of the investor. The Conditional Pass through feature of covered bond reduces credit risk related to the covered bond and in case of issuer's default the expected recovery rate for investor increases. </w:t>
            </w:r>
          </w:p>
          <w:p w:rsidR="00E31BF6" w:rsidRPr="00A42B3C" w:rsidRDefault="00E31BF6" w:rsidP="00E31BF6">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 xml:space="preserve">2. The maturity extension and switch to pass-through aims also to reduce refinancing risk, i.e. the risk of fire-sales.  </w:t>
            </w:r>
            <w:r w:rsidR="00EA7097" w:rsidRPr="00A42B3C">
              <w:rPr>
                <w:rFonts w:ascii="Calibri" w:eastAsia="Times New Roman" w:hAnsi="Calibri" w:cs="Calibri"/>
                <w:color w:val="000000"/>
                <w:sz w:val="14"/>
                <w:szCs w:val="14"/>
                <w:lang w:val="en-GB" w:eastAsia="en-GB"/>
              </w:rPr>
              <w:t>Moreover,</w:t>
            </w:r>
            <w:r w:rsidRPr="00A42B3C">
              <w:rPr>
                <w:rFonts w:ascii="Calibri" w:eastAsia="Times New Roman" w:hAnsi="Calibri" w:cs="Calibri"/>
                <w:color w:val="000000"/>
                <w:sz w:val="14"/>
                <w:szCs w:val="14"/>
                <w:lang w:val="en-GB" w:eastAsia="en-GB"/>
              </w:rPr>
              <w:t xml:space="preserve"> in Poland the m</w:t>
            </w:r>
            <w:r w:rsidR="00EA7097" w:rsidRPr="00A42B3C">
              <w:rPr>
                <w:rFonts w:ascii="Calibri" w:eastAsia="Times New Roman" w:hAnsi="Calibri" w:cs="Calibri"/>
                <w:color w:val="000000"/>
                <w:sz w:val="14"/>
                <w:szCs w:val="14"/>
                <w:lang w:val="en-GB" w:eastAsia="en-GB"/>
              </w:rPr>
              <w:t>inimum level of overcollateralisation</w:t>
            </w:r>
            <w:r w:rsidRPr="00A42B3C">
              <w:rPr>
                <w:rFonts w:ascii="Calibri" w:eastAsia="Times New Roman" w:hAnsi="Calibri" w:cs="Calibri"/>
                <w:color w:val="000000"/>
                <w:sz w:val="14"/>
                <w:szCs w:val="14"/>
                <w:lang w:val="en-GB" w:eastAsia="en-GB"/>
              </w:rPr>
              <w:t xml:space="preserve"> required by the law is 10%, which additionally increases the safety of the investor and offsets the potential refinancing risk related to the issuer's default. </w:t>
            </w:r>
          </w:p>
          <w:p w:rsidR="00E31BF6" w:rsidRPr="00A42B3C" w:rsidRDefault="00E31BF6" w:rsidP="00E31BF6">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 xml:space="preserve">3. In case of </w:t>
            </w:r>
            <w:r w:rsidR="004A3071" w:rsidRPr="00A42B3C">
              <w:rPr>
                <w:rFonts w:ascii="Calibri" w:eastAsia="Times New Roman" w:hAnsi="Calibri" w:cs="Calibri"/>
                <w:color w:val="000000"/>
                <w:sz w:val="14"/>
                <w:szCs w:val="14"/>
                <w:lang w:val="en-GB" w:eastAsia="en-GB"/>
              </w:rPr>
              <w:t>exercising</w:t>
            </w:r>
            <w:r w:rsidRPr="00A42B3C">
              <w:rPr>
                <w:rFonts w:ascii="Calibri" w:eastAsia="Times New Roman" w:hAnsi="Calibri" w:cs="Calibri"/>
                <w:color w:val="000000"/>
                <w:sz w:val="14"/>
                <w:szCs w:val="14"/>
                <w:lang w:val="en-GB" w:eastAsia="en-GB"/>
              </w:rPr>
              <w:t xml:space="preserve"> the extension of maturity of covered bond the interest rate changes into float. Such a change ensures that the market value of the covered bond will not decrease due to the cash flows </w:t>
            </w:r>
            <w:r w:rsidR="004A3071" w:rsidRPr="00A42B3C">
              <w:rPr>
                <w:rFonts w:ascii="Calibri" w:eastAsia="Times New Roman" w:hAnsi="Calibri" w:cs="Calibri"/>
                <w:color w:val="000000"/>
                <w:sz w:val="14"/>
                <w:szCs w:val="14"/>
                <w:lang w:val="en-GB" w:eastAsia="en-GB"/>
              </w:rPr>
              <w:t>deferral</w:t>
            </w:r>
            <w:r w:rsidRPr="00A42B3C">
              <w:rPr>
                <w:rFonts w:ascii="Calibri" w:eastAsia="Times New Roman" w:hAnsi="Calibri" w:cs="Calibri"/>
                <w:color w:val="000000"/>
                <w:sz w:val="14"/>
                <w:szCs w:val="14"/>
                <w:lang w:val="en-GB" w:eastAsia="en-GB"/>
              </w:rPr>
              <w:t>.  4 Risk for the investors is reflected in assigned rating, which takes into account potential maturity extension.</w:t>
            </w:r>
          </w:p>
          <w:p w:rsidR="00E31BF6" w:rsidRPr="00A42B3C" w:rsidRDefault="00E31BF6" w:rsidP="00E31BF6">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5.Rating agencies in their methodologies underline that use of extendible maturity structur</w:t>
            </w:r>
            <w:r w:rsidR="004A3071" w:rsidRPr="00A42B3C">
              <w:rPr>
                <w:rFonts w:ascii="Calibri" w:eastAsia="Times New Roman" w:hAnsi="Calibri" w:cs="Calibri"/>
                <w:color w:val="000000"/>
                <w:sz w:val="14"/>
                <w:szCs w:val="14"/>
                <w:lang w:val="en-GB" w:eastAsia="en-GB"/>
              </w:rPr>
              <w:t>e</w:t>
            </w:r>
            <w:r w:rsidRPr="00A42B3C">
              <w:rPr>
                <w:rFonts w:ascii="Calibri" w:eastAsia="Times New Roman" w:hAnsi="Calibri" w:cs="Calibri"/>
                <w:color w:val="000000"/>
                <w:sz w:val="14"/>
                <w:szCs w:val="14"/>
                <w:lang w:val="en-GB" w:eastAsia="en-GB"/>
              </w:rPr>
              <w:t>s effectively decreases the risk related to the investment. See e.g. "Conditional Pass through Covered Bonds Can Remove Refinancing Risk</w:t>
            </w:r>
          </w:p>
          <w:p w:rsidR="001A3F26" w:rsidRPr="00A42B3C" w:rsidRDefault="00E31BF6" w:rsidP="000B7E74">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 xml:space="preserve">Effectively" by Moody's. </w:t>
            </w:r>
            <w:r w:rsidR="0041021A" w:rsidRPr="00A42B3C">
              <w:rPr>
                <w:rFonts w:ascii="Calibri" w:eastAsia="Times New Roman" w:hAnsi="Calibri" w:cs="Calibri"/>
                <w:color w:val="000000"/>
                <w:sz w:val="14"/>
                <w:szCs w:val="14"/>
                <w:lang w:val="en-GB" w:eastAsia="en-GB"/>
              </w:rPr>
              <w:t>Thus,</w:t>
            </w:r>
            <w:r w:rsidRPr="00A42B3C">
              <w:rPr>
                <w:rFonts w:ascii="Calibri" w:eastAsia="Times New Roman" w:hAnsi="Calibri" w:cs="Calibri"/>
                <w:color w:val="000000"/>
                <w:sz w:val="14"/>
                <w:szCs w:val="14"/>
                <w:lang w:val="en-GB" w:eastAsia="en-GB"/>
              </w:rPr>
              <w:t xml:space="preserve"> Conditional Pass through Covered Bonds have typically the higher and more stable rating. This is beneficial for rating-sensitive investors. Amendment 14 should not be implemented because it will have a huge adverse effect on the demand for CBs issued by institutions operating in jurisdictions, where cases for a maturity extension, even if not set out by the institution in the base prospectus and related final terms, are predefined in the existing national regulatory framework (in Poland especially in Insolvency Law). It means that all polish CB should be treated as CB with extendable maturity structures and higher risk weights has highly significant impact on attractiveness of polish CB on market and future issues.  Apart from that, the justification provided for this amendment seems to be missing the fact that risk connected with such CBs will be included in their rating, therefore a new requirement for an additional increase of their risk weight will be double-penalizing. </w:t>
            </w:r>
          </w:p>
        </w:tc>
        <w:tc>
          <w:tcPr>
            <w:tcW w:w="992" w:type="dxa"/>
            <w:tcBorders>
              <w:top w:val="single" w:sz="4" w:space="0" w:color="auto"/>
              <w:left w:val="single" w:sz="4" w:space="0" w:color="auto"/>
              <w:bottom w:val="single" w:sz="4" w:space="0" w:color="auto"/>
              <w:right w:val="single" w:sz="4" w:space="0" w:color="auto"/>
            </w:tcBorders>
            <w:vAlign w:val="center"/>
          </w:tcPr>
          <w:p w:rsidR="001A3F26" w:rsidRPr="00A42B3C" w:rsidRDefault="001A3F26" w:rsidP="000B7E74">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High</w:t>
            </w:r>
          </w:p>
        </w:tc>
        <w:tc>
          <w:tcPr>
            <w:tcW w:w="3544" w:type="dxa"/>
            <w:tcBorders>
              <w:top w:val="single" w:sz="4" w:space="0" w:color="auto"/>
              <w:left w:val="single" w:sz="4" w:space="0" w:color="auto"/>
              <w:bottom w:val="single" w:sz="4" w:space="0" w:color="auto"/>
              <w:right w:val="single" w:sz="4" w:space="0" w:color="auto"/>
            </w:tcBorders>
            <w:vAlign w:val="center"/>
          </w:tcPr>
          <w:p w:rsidR="001A3F26" w:rsidRPr="00A42B3C" w:rsidRDefault="004A3071" w:rsidP="000B7E74">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As for the Regulation we would to remove the whole proposed paragraph. As for the Directive we would like to keep the Commission wording.</w:t>
            </w:r>
          </w:p>
        </w:tc>
        <w:tc>
          <w:tcPr>
            <w:tcW w:w="769" w:type="dxa"/>
            <w:tcBorders>
              <w:top w:val="single" w:sz="4" w:space="0" w:color="auto"/>
              <w:left w:val="single" w:sz="4" w:space="0" w:color="auto"/>
              <w:bottom w:val="single" w:sz="4" w:space="0" w:color="auto"/>
              <w:right w:val="single" w:sz="4" w:space="0" w:color="auto"/>
            </w:tcBorders>
          </w:tcPr>
          <w:p w:rsidR="001A3F26" w:rsidRPr="00A42B3C" w:rsidRDefault="001A3F26" w:rsidP="000B7E74">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EU</w:t>
            </w:r>
          </w:p>
        </w:tc>
      </w:tr>
      <w:tr w:rsidR="008D7B95" w:rsidRPr="00A42B3C" w:rsidTr="00085D7C">
        <w:trPr>
          <w:trHeight w:val="475"/>
        </w:trPr>
        <w:tc>
          <w:tcPr>
            <w:tcW w:w="851" w:type="dxa"/>
            <w:tcBorders>
              <w:top w:val="single" w:sz="4" w:space="0" w:color="auto"/>
              <w:left w:val="single" w:sz="4" w:space="0" w:color="auto"/>
              <w:bottom w:val="single" w:sz="4" w:space="0" w:color="auto"/>
              <w:right w:val="single" w:sz="4" w:space="0" w:color="auto"/>
            </w:tcBorders>
            <w:vAlign w:val="center"/>
          </w:tcPr>
          <w:p w:rsidR="001A3F26" w:rsidRPr="00A42B3C" w:rsidRDefault="001A3F26" w:rsidP="000B7E74">
            <w:pPr>
              <w:spacing w:line="256" w:lineRule="auto"/>
              <w:jc w:val="both"/>
              <w:rPr>
                <w:rFonts w:ascii="Calibri" w:eastAsia="Times New Roman" w:hAnsi="Calibri" w:cs="Calibri"/>
                <w:color w:val="000000"/>
                <w:sz w:val="16"/>
                <w:szCs w:val="20"/>
                <w:lang w:val="en-GB" w:eastAsia="en-GB"/>
              </w:rPr>
            </w:pPr>
            <w:r w:rsidRPr="00A42B3C">
              <w:rPr>
                <w:rFonts w:ascii="Calibri" w:eastAsia="Times New Roman" w:hAnsi="Calibri" w:cs="Calibri"/>
                <w:color w:val="000000"/>
                <w:sz w:val="16"/>
                <w:szCs w:val="20"/>
                <w:lang w:val="en-GB" w:eastAsia="en-GB"/>
              </w:rPr>
              <w:t>2</w:t>
            </w:r>
          </w:p>
        </w:tc>
        <w:tc>
          <w:tcPr>
            <w:tcW w:w="992" w:type="dxa"/>
            <w:tcBorders>
              <w:top w:val="single" w:sz="4" w:space="0" w:color="auto"/>
              <w:left w:val="single" w:sz="4" w:space="0" w:color="auto"/>
              <w:bottom w:val="single" w:sz="4" w:space="0" w:color="auto"/>
              <w:right w:val="single" w:sz="4" w:space="0" w:color="auto"/>
            </w:tcBorders>
            <w:vAlign w:val="center"/>
          </w:tcPr>
          <w:p w:rsidR="001A3F26" w:rsidRPr="00A42B3C" w:rsidRDefault="001A3F26" w:rsidP="000B7E74">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Directive - Amendment No 45</w:t>
            </w:r>
          </w:p>
        </w:tc>
        <w:tc>
          <w:tcPr>
            <w:tcW w:w="2127" w:type="dxa"/>
            <w:tcBorders>
              <w:top w:val="single" w:sz="4" w:space="0" w:color="auto"/>
              <w:left w:val="single" w:sz="4" w:space="0" w:color="auto"/>
              <w:bottom w:val="single" w:sz="4" w:space="0" w:color="auto"/>
              <w:right w:val="single" w:sz="4" w:space="0" w:color="auto"/>
            </w:tcBorders>
            <w:vAlign w:val="center"/>
          </w:tcPr>
          <w:p w:rsidR="001A3F26" w:rsidRPr="004E08F3" w:rsidRDefault="001A3F26" w:rsidP="000B7E74">
            <w:pPr>
              <w:jc w:val="both"/>
              <w:rPr>
                <w:rFonts w:ascii="Calibri" w:eastAsia="Times New Roman" w:hAnsi="Calibri" w:cs="Calibri"/>
                <w:color w:val="000000"/>
                <w:sz w:val="14"/>
                <w:szCs w:val="14"/>
                <w:lang w:val="fr-BE" w:eastAsia="en-GB"/>
              </w:rPr>
            </w:pPr>
            <w:r w:rsidRPr="004E08F3">
              <w:rPr>
                <w:rFonts w:ascii="Calibri" w:eastAsia="Times New Roman" w:hAnsi="Calibri" w:cs="Calibri"/>
                <w:color w:val="000000"/>
                <w:sz w:val="14"/>
                <w:szCs w:val="14"/>
                <w:lang w:val="fr-BE" w:eastAsia="en-GB"/>
              </w:rPr>
              <w:t>Article 15 – paragraph 1 – subparagraph 1 – point c – point iv</w:t>
            </w:r>
          </w:p>
        </w:tc>
        <w:tc>
          <w:tcPr>
            <w:tcW w:w="1134" w:type="dxa"/>
            <w:tcBorders>
              <w:top w:val="single" w:sz="4" w:space="0" w:color="auto"/>
              <w:left w:val="single" w:sz="4" w:space="0" w:color="auto"/>
              <w:bottom w:val="single" w:sz="4" w:space="0" w:color="auto"/>
              <w:right w:val="single" w:sz="4" w:space="0" w:color="auto"/>
            </w:tcBorders>
            <w:vAlign w:val="center"/>
          </w:tcPr>
          <w:p w:rsidR="001A3F26" w:rsidRPr="00A42B3C" w:rsidRDefault="001A3F26" w:rsidP="000B7E74">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Derivative contracts (coverage)</w:t>
            </w:r>
          </w:p>
        </w:tc>
        <w:tc>
          <w:tcPr>
            <w:tcW w:w="5386" w:type="dxa"/>
            <w:tcBorders>
              <w:top w:val="single" w:sz="4" w:space="0" w:color="auto"/>
              <w:left w:val="single" w:sz="4" w:space="0" w:color="auto"/>
              <w:bottom w:val="single" w:sz="4" w:space="0" w:color="auto"/>
              <w:right w:val="single" w:sz="4" w:space="0" w:color="auto"/>
            </w:tcBorders>
            <w:vAlign w:val="center"/>
          </w:tcPr>
          <w:p w:rsidR="001A3F26" w:rsidRPr="00A42B3C" w:rsidRDefault="004A3071" w:rsidP="000B7E74">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Derivative contracts are used for risk hedging purposes indeed but finally they contribute to the coverage through their impact on currency mismatch. Lack of derivatives in coverage calculation will lead to situation in which coverage level will be exposed to foreign exchange movements.</w:t>
            </w:r>
          </w:p>
        </w:tc>
        <w:tc>
          <w:tcPr>
            <w:tcW w:w="992" w:type="dxa"/>
            <w:tcBorders>
              <w:top w:val="single" w:sz="4" w:space="0" w:color="auto"/>
              <w:left w:val="single" w:sz="4" w:space="0" w:color="auto"/>
              <w:bottom w:val="single" w:sz="4" w:space="0" w:color="auto"/>
              <w:right w:val="single" w:sz="4" w:space="0" w:color="auto"/>
            </w:tcBorders>
            <w:vAlign w:val="center"/>
          </w:tcPr>
          <w:p w:rsidR="001A3F26" w:rsidRPr="00A42B3C" w:rsidRDefault="001A3F26" w:rsidP="000B7E74">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High</w:t>
            </w:r>
          </w:p>
        </w:tc>
        <w:tc>
          <w:tcPr>
            <w:tcW w:w="3544" w:type="dxa"/>
            <w:tcBorders>
              <w:top w:val="single" w:sz="4" w:space="0" w:color="auto"/>
              <w:left w:val="single" w:sz="4" w:space="0" w:color="auto"/>
              <w:bottom w:val="single" w:sz="4" w:space="0" w:color="auto"/>
              <w:right w:val="single" w:sz="4" w:space="0" w:color="auto"/>
            </w:tcBorders>
            <w:vAlign w:val="center"/>
          </w:tcPr>
          <w:p w:rsidR="001A3F26" w:rsidRPr="00A42B3C" w:rsidRDefault="001A3F26" w:rsidP="000B7E74">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Our proposal is to keep the Commission wording.</w:t>
            </w:r>
          </w:p>
        </w:tc>
        <w:tc>
          <w:tcPr>
            <w:tcW w:w="769" w:type="dxa"/>
            <w:tcBorders>
              <w:top w:val="single" w:sz="4" w:space="0" w:color="auto"/>
              <w:left w:val="single" w:sz="4" w:space="0" w:color="auto"/>
              <w:bottom w:val="single" w:sz="4" w:space="0" w:color="auto"/>
              <w:right w:val="single" w:sz="4" w:space="0" w:color="auto"/>
            </w:tcBorders>
          </w:tcPr>
          <w:p w:rsidR="001A3F26" w:rsidRPr="00A42B3C" w:rsidRDefault="00B67D2E" w:rsidP="000B7E74">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EU</w:t>
            </w:r>
          </w:p>
        </w:tc>
      </w:tr>
      <w:tr w:rsidR="008D7B95" w:rsidRPr="00A42B3C" w:rsidTr="00085D7C">
        <w:trPr>
          <w:trHeight w:val="389"/>
        </w:trPr>
        <w:tc>
          <w:tcPr>
            <w:tcW w:w="851" w:type="dxa"/>
            <w:tcBorders>
              <w:top w:val="single" w:sz="4" w:space="0" w:color="auto"/>
              <w:left w:val="single" w:sz="4" w:space="0" w:color="auto"/>
              <w:bottom w:val="single" w:sz="4" w:space="0" w:color="auto"/>
              <w:right w:val="single" w:sz="4" w:space="0" w:color="auto"/>
            </w:tcBorders>
            <w:vAlign w:val="center"/>
          </w:tcPr>
          <w:p w:rsidR="001A3F26" w:rsidRPr="00A42B3C" w:rsidRDefault="001A3F26" w:rsidP="000B7E74">
            <w:pPr>
              <w:spacing w:line="256" w:lineRule="auto"/>
              <w:jc w:val="both"/>
              <w:rPr>
                <w:rFonts w:ascii="Calibri" w:eastAsia="Times New Roman" w:hAnsi="Calibri" w:cs="Calibri"/>
                <w:color w:val="000000"/>
                <w:sz w:val="16"/>
                <w:szCs w:val="20"/>
                <w:lang w:val="en-GB" w:eastAsia="en-GB"/>
              </w:rPr>
            </w:pPr>
            <w:r w:rsidRPr="00A42B3C">
              <w:rPr>
                <w:rFonts w:ascii="Calibri" w:eastAsia="Times New Roman" w:hAnsi="Calibri" w:cs="Calibri"/>
                <w:color w:val="000000"/>
                <w:sz w:val="16"/>
                <w:szCs w:val="20"/>
                <w:lang w:val="en-GB" w:eastAsia="en-GB"/>
              </w:rPr>
              <w:t>3</w:t>
            </w:r>
          </w:p>
        </w:tc>
        <w:tc>
          <w:tcPr>
            <w:tcW w:w="992" w:type="dxa"/>
            <w:tcBorders>
              <w:top w:val="single" w:sz="4" w:space="0" w:color="auto"/>
              <w:left w:val="single" w:sz="4" w:space="0" w:color="auto"/>
              <w:bottom w:val="single" w:sz="4" w:space="0" w:color="auto"/>
              <w:right w:val="single" w:sz="4" w:space="0" w:color="auto"/>
            </w:tcBorders>
            <w:vAlign w:val="center"/>
          </w:tcPr>
          <w:p w:rsidR="001A3F26" w:rsidRPr="00A42B3C" w:rsidRDefault="001A3F26" w:rsidP="000B7E74">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Regulation - Amendment 11</w:t>
            </w:r>
          </w:p>
        </w:tc>
        <w:tc>
          <w:tcPr>
            <w:tcW w:w="2127" w:type="dxa"/>
            <w:tcBorders>
              <w:top w:val="single" w:sz="4" w:space="0" w:color="auto"/>
              <w:left w:val="single" w:sz="4" w:space="0" w:color="auto"/>
              <w:bottom w:val="single" w:sz="4" w:space="0" w:color="auto"/>
              <w:right w:val="single" w:sz="4" w:space="0" w:color="auto"/>
            </w:tcBorders>
            <w:vAlign w:val="center"/>
          </w:tcPr>
          <w:p w:rsidR="001A3F26" w:rsidRPr="004E08F3" w:rsidRDefault="001A3F26" w:rsidP="000B7E74">
            <w:pPr>
              <w:jc w:val="both"/>
              <w:rPr>
                <w:rFonts w:ascii="Calibri" w:eastAsia="Times New Roman" w:hAnsi="Calibri" w:cs="Calibri"/>
                <w:color w:val="000000"/>
                <w:sz w:val="14"/>
                <w:szCs w:val="14"/>
                <w:lang w:val="fr-BE" w:eastAsia="en-GB"/>
              </w:rPr>
            </w:pPr>
            <w:r w:rsidRPr="004E08F3">
              <w:rPr>
                <w:rFonts w:ascii="Calibri" w:eastAsia="Times New Roman" w:hAnsi="Calibri" w:cs="Calibri"/>
                <w:color w:val="000000"/>
                <w:sz w:val="14"/>
                <w:szCs w:val="14"/>
                <w:lang w:val="fr-BE" w:eastAsia="en-GB"/>
              </w:rPr>
              <w:t>Article 1 - paragraph 1 - point 1 - point d</w:t>
            </w:r>
          </w:p>
        </w:tc>
        <w:tc>
          <w:tcPr>
            <w:tcW w:w="1134" w:type="dxa"/>
            <w:tcBorders>
              <w:top w:val="single" w:sz="4" w:space="0" w:color="auto"/>
              <w:left w:val="single" w:sz="4" w:space="0" w:color="auto"/>
              <w:bottom w:val="single" w:sz="4" w:space="0" w:color="auto"/>
              <w:right w:val="single" w:sz="4" w:space="0" w:color="auto"/>
            </w:tcBorders>
            <w:vAlign w:val="center"/>
          </w:tcPr>
          <w:p w:rsidR="001A3F26" w:rsidRPr="00A42B3C" w:rsidRDefault="001A3F26" w:rsidP="000B7E74">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 xml:space="preserve">Level of </w:t>
            </w:r>
            <w:r w:rsidR="00DD7D35" w:rsidRPr="00A42B3C">
              <w:rPr>
                <w:rFonts w:ascii="Calibri" w:eastAsia="Times New Roman" w:hAnsi="Calibri" w:cs="Calibri"/>
                <w:color w:val="000000"/>
                <w:sz w:val="14"/>
                <w:szCs w:val="14"/>
                <w:lang w:val="en-GB" w:eastAsia="en-GB"/>
              </w:rPr>
              <w:t>overcollateralisation</w:t>
            </w:r>
          </w:p>
        </w:tc>
        <w:tc>
          <w:tcPr>
            <w:tcW w:w="5386" w:type="dxa"/>
            <w:tcBorders>
              <w:top w:val="single" w:sz="4" w:space="0" w:color="auto"/>
              <w:left w:val="single" w:sz="4" w:space="0" w:color="auto"/>
              <w:bottom w:val="single" w:sz="4" w:space="0" w:color="auto"/>
              <w:right w:val="single" w:sz="4" w:space="0" w:color="auto"/>
            </w:tcBorders>
            <w:vAlign w:val="center"/>
          </w:tcPr>
          <w:p w:rsidR="001A3F26" w:rsidRPr="00A42B3C" w:rsidRDefault="001A3F26" w:rsidP="000B7E74">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In our opinio</w:t>
            </w:r>
            <w:r w:rsidR="00DD7D35" w:rsidRPr="00A42B3C">
              <w:rPr>
                <w:rFonts w:ascii="Calibri" w:eastAsia="Times New Roman" w:hAnsi="Calibri" w:cs="Calibri"/>
                <w:color w:val="000000"/>
                <w:sz w:val="14"/>
                <w:szCs w:val="14"/>
                <w:lang w:val="en-GB" w:eastAsia="en-GB"/>
              </w:rPr>
              <w:t>n pat of exposure above soft LTV</w:t>
            </w:r>
            <w:r w:rsidRPr="00A42B3C">
              <w:rPr>
                <w:rFonts w:ascii="Calibri" w:eastAsia="Times New Roman" w:hAnsi="Calibri" w:cs="Calibri"/>
                <w:color w:val="000000"/>
                <w:sz w:val="14"/>
                <w:szCs w:val="14"/>
                <w:lang w:val="en-GB" w:eastAsia="en-GB"/>
              </w:rPr>
              <w:t xml:space="preserve"> limit should be included in OC calculation. This part is included in cover pool and benefits covered bonds investors.</w:t>
            </w:r>
          </w:p>
        </w:tc>
        <w:tc>
          <w:tcPr>
            <w:tcW w:w="992" w:type="dxa"/>
            <w:tcBorders>
              <w:top w:val="single" w:sz="4" w:space="0" w:color="auto"/>
              <w:left w:val="single" w:sz="4" w:space="0" w:color="auto"/>
              <w:bottom w:val="single" w:sz="4" w:space="0" w:color="auto"/>
              <w:right w:val="single" w:sz="4" w:space="0" w:color="auto"/>
            </w:tcBorders>
            <w:vAlign w:val="center"/>
          </w:tcPr>
          <w:p w:rsidR="001A3F26" w:rsidRPr="00A42B3C" w:rsidRDefault="001A3F26" w:rsidP="000B7E74">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Moderate</w:t>
            </w:r>
          </w:p>
        </w:tc>
        <w:tc>
          <w:tcPr>
            <w:tcW w:w="3544" w:type="dxa"/>
            <w:tcBorders>
              <w:top w:val="single" w:sz="4" w:space="0" w:color="auto"/>
              <w:left w:val="single" w:sz="4" w:space="0" w:color="auto"/>
              <w:bottom w:val="single" w:sz="4" w:space="0" w:color="auto"/>
              <w:right w:val="single" w:sz="4" w:space="0" w:color="auto"/>
            </w:tcBorders>
            <w:vAlign w:val="center"/>
          </w:tcPr>
          <w:p w:rsidR="001A3F26" w:rsidRPr="00A42B3C" w:rsidRDefault="00B67D2E" w:rsidP="000B7E74">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Our proposal is to keep the Commission wording.</w:t>
            </w:r>
          </w:p>
        </w:tc>
        <w:tc>
          <w:tcPr>
            <w:tcW w:w="769" w:type="dxa"/>
            <w:tcBorders>
              <w:top w:val="single" w:sz="4" w:space="0" w:color="auto"/>
              <w:left w:val="single" w:sz="4" w:space="0" w:color="auto"/>
              <w:bottom w:val="single" w:sz="4" w:space="0" w:color="auto"/>
              <w:right w:val="single" w:sz="4" w:space="0" w:color="auto"/>
            </w:tcBorders>
          </w:tcPr>
          <w:p w:rsidR="001A3F26" w:rsidRPr="00A42B3C" w:rsidRDefault="00B67D2E" w:rsidP="000B7E74">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National</w:t>
            </w:r>
          </w:p>
        </w:tc>
      </w:tr>
      <w:tr w:rsidR="008D7B95" w:rsidRPr="00A42B3C" w:rsidTr="00085D7C">
        <w:trPr>
          <w:trHeight w:val="475"/>
        </w:trPr>
        <w:tc>
          <w:tcPr>
            <w:tcW w:w="851" w:type="dxa"/>
            <w:tcBorders>
              <w:top w:val="single" w:sz="4" w:space="0" w:color="auto"/>
              <w:left w:val="single" w:sz="4" w:space="0" w:color="auto"/>
              <w:bottom w:val="single" w:sz="4" w:space="0" w:color="auto"/>
              <w:right w:val="single" w:sz="4" w:space="0" w:color="auto"/>
            </w:tcBorders>
            <w:vAlign w:val="center"/>
          </w:tcPr>
          <w:p w:rsidR="001A3F26" w:rsidRPr="00A42B3C" w:rsidRDefault="001A3F26" w:rsidP="000B7E74">
            <w:pPr>
              <w:spacing w:line="256" w:lineRule="auto"/>
              <w:jc w:val="both"/>
              <w:rPr>
                <w:rFonts w:ascii="Calibri" w:eastAsia="Times New Roman" w:hAnsi="Calibri" w:cs="Calibri"/>
                <w:color w:val="000000"/>
                <w:sz w:val="16"/>
                <w:szCs w:val="20"/>
                <w:lang w:val="en-GB" w:eastAsia="en-GB"/>
              </w:rPr>
            </w:pPr>
            <w:r w:rsidRPr="00A42B3C">
              <w:rPr>
                <w:rFonts w:ascii="Calibri" w:eastAsia="Times New Roman" w:hAnsi="Calibri" w:cs="Calibri"/>
                <w:color w:val="000000"/>
                <w:sz w:val="16"/>
                <w:szCs w:val="20"/>
                <w:lang w:val="en-GB" w:eastAsia="en-GB"/>
              </w:rPr>
              <w:t>4</w:t>
            </w:r>
          </w:p>
        </w:tc>
        <w:tc>
          <w:tcPr>
            <w:tcW w:w="992" w:type="dxa"/>
            <w:tcBorders>
              <w:top w:val="single" w:sz="4" w:space="0" w:color="auto"/>
              <w:left w:val="single" w:sz="4" w:space="0" w:color="auto"/>
              <w:bottom w:val="single" w:sz="4" w:space="0" w:color="auto"/>
              <w:right w:val="single" w:sz="4" w:space="0" w:color="auto"/>
            </w:tcBorders>
            <w:vAlign w:val="center"/>
          </w:tcPr>
          <w:p w:rsidR="001A3F26" w:rsidRPr="00A42B3C" w:rsidRDefault="00B67D2E" w:rsidP="000B7E74">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Directive - Amendment No 21</w:t>
            </w:r>
          </w:p>
        </w:tc>
        <w:tc>
          <w:tcPr>
            <w:tcW w:w="2127" w:type="dxa"/>
            <w:tcBorders>
              <w:top w:val="single" w:sz="4" w:space="0" w:color="auto"/>
              <w:left w:val="single" w:sz="4" w:space="0" w:color="auto"/>
              <w:bottom w:val="single" w:sz="4" w:space="0" w:color="auto"/>
              <w:right w:val="single" w:sz="4" w:space="0" w:color="auto"/>
            </w:tcBorders>
            <w:vAlign w:val="center"/>
          </w:tcPr>
          <w:p w:rsidR="001A3F26" w:rsidRPr="00A42B3C" w:rsidRDefault="00B67D2E" w:rsidP="000B7E74">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Article 5 – paragraph 1</w:t>
            </w:r>
          </w:p>
        </w:tc>
        <w:tc>
          <w:tcPr>
            <w:tcW w:w="1134" w:type="dxa"/>
            <w:tcBorders>
              <w:top w:val="single" w:sz="4" w:space="0" w:color="auto"/>
              <w:left w:val="single" w:sz="4" w:space="0" w:color="auto"/>
              <w:bottom w:val="single" w:sz="4" w:space="0" w:color="auto"/>
              <w:right w:val="single" w:sz="4" w:space="0" w:color="auto"/>
            </w:tcBorders>
            <w:vAlign w:val="center"/>
          </w:tcPr>
          <w:p w:rsidR="001A3F26" w:rsidRPr="00A42B3C" w:rsidRDefault="00B67D2E" w:rsidP="000B7E74">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Acceleration of covered bonds</w:t>
            </w:r>
          </w:p>
        </w:tc>
        <w:tc>
          <w:tcPr>
            <w:tcW w:w="5386" w:type="dxa"/>
            <w:tcBorders>
              <w:top w:val="single" w:sz="4" w:space="0" w:color="auto"/>
              <w:left w:val="single" w:sz="4" w:space="0" w:color="auto"/>
              <w:bottom w:val="single" w:sz="4" w:space="0" w:color="auto"/>
              <w:right w:val="single" w:sz="4" w:space="0" w:color="auto"/>
            </w:tcBorders>
            <w:vAlign w:val="center"/>
          </w:tcPr>
          <w:p w:rsidR="001A3F26" w:rsidRPr="00A42B3C" w:rsidRDefault="00B67D2E" w:rsidP="000B7E74">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Proposal of amendment makes this provision too broad – "any form of acceleration". It will eliminate investors right to decide about potential acceleration of payment obligations.</w:t>
            </w:r>
          </w:p>
        </w:tc>
        <w:tc>
          <w:tcPr>
            <w:tcW w:w="992" w:type="dxa"/>
            <w:tcBorders>
              <w:top w:val="single" w:sz="4" w:space="0" w:color="auto"/>
              <w:left w:val="single" w:sz="4" w:space="0" w:color="auto"/>
              <w:bottom w:val="single" w:sz="4" w:space="0" w:color="auto"/>
              <w:right w:val="single" w:sz="4" w:space="0" w:color="auto"/>
            </w:tcBorders>
            <w:vAlign w:val="center"/>
          </w:tcPr>
          <w:p w:rsidR="001A3F26" w:rsidRPr="00A42B3C" w:rsidRDefault="001A3F26" w:rsidP="000B7E74">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Moderate</w:t>
            </w:r>
          </w:p>
        </w:tc>
        <w:tc>
          <w:tcPr>
            <w:tcW w:w="3544" w:type="dxa"/>
            <w:tcBorders>
              <w:top w:val="single" w:sz="4" w:space="0" w:color="auto"/>
              <w:left w:val="single" w:sz="4" w:space="0" w:color="auto"/>
              <w:bottom w:val="single" w:sz="4" w:space="0" w:color="auto"/>
              <w:right w:val="single" w:sz="4" w:space="0" w:color="auto"/>
            </w:tcBorders>
            <w:vAlign w:val="center"/>
          </w:tcPr>
          <w:p w:rsidR="001A3F26" w:rsidRPr="00A42B3C" w:rsidRDefault="00B67D2E" w:rsidP="000B7E74">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Our proposal is to keep the</w:t>
            </w:r>
            <w:r w:rsidR="008D7B95" w:rsidRPr="00A42B3C">
              <w:rPr>
                <w:rFonts w:ascii="Calibri" w:eastAsia="Times New Roman" w:hAnsi="Calibri" w:cs="Calibri"/>
                <w:color w:val="000000"/>
                <w:sz w:val="14"/>
                <w:szCs w:val="14"/>
                <w:lang w:val="en-GB" w:eastAsia="en-GB"/>
              </w:rPr>
              <w:t xml:space="preserve"> </w:t>
            </w:r>
            <w:r w:rsidRPr="00A42B3C">
              <w:rPr>
                <w:rFonts w:ascii="Calibri" w:eastAsia="Times New Roman" w:hAnsi="Calibri" w:cs="Calibri"/>
                <w:color w:val="000000"/>
                <w:sz w:val="14"/>
                <w:szCs w:val="14"/>
                <w:lang w:val="en-GB" w:eastAsia="en-GB"/>
              </w:rPr>
              <w:t xml:space="preserve">previous text, which enables the other than “automatic” acceleration of the covered bonds, especially on the basis of </w:t>
            </w:r>
            <w:r w:rsidR="008D7B95" w:rsidRPr="00A42B3C">
              <w:rPr>
                <w:rFonts w:ascii="Calibri" w:eastAsia="Times New Roman" w:hAnsi="Calibri" w:cs="Calibri"/>
                <w:color w:val="000000"/>
                <w:sz w:val="14"/>
                <w:szCs w:val="14"/>
                <w:lang w:val="en-GB" w:eastAsia="en-GB"/>
              </w:rPr>
              <w:t>bondholders’</w:t>
            </w:r>
            <w:r w:rsidRPr="00A42B3C">
              <w:rPr>
                <w:rFonts w:ascii="Calibri" w:eastAsia="Times New Roman" w:hAnsi="Calibri" w:cs="Calibri"/>
                <w:color w:val="000000"/>
                <w:sz w:val="14"/>
                <w:szCs w:val="14"/>
                <w:lang w:val="en-GB" w:eastAsia="en-GB"/>
              </w:rPr>
              <w:t xml:space="preserve"> decision; they should be entitled to intervene in bankruptcy procedure.</w:t>
            </w:r>
            <w:r w:rsidR="008D7B95" w:rsidRPr="00A42B3C">
              <w:rPr>
                <w:rFonts w:ascii="Calibri" w:eastAsia="Times New Roman" w:hAnsi="Calibri" w:cs="Calibri"/>
                <w:color w:val="000000"/>
                <w:sz w:val="14"/>
                <w:szCs w:val="14"/>
                <w:lang w:val="en-GB" w:eastAsia="en-GB"/>
              </w:rPr>
              <w:t xml:space="preserve"> Alternatively,</w:t>
            </w:r>
            <w:r w:rsidRPr="00A42B3C">
              <w:rPr>
                <w:rFonts w:ascii="Calibri" w:eastAsia="Times New Roman" w:hAnsi="Calibri" w:cs="Calibri"/>
                <w:color w:val="000000"/>
                <w:sz w:val="14"/>
                <w:szCs w:val="14"/>
                <w:lang w:val="en-GB" w:eastAsia="en-GB"/>
              </w:rPr>
              <w:t xml:space="preserve"> paragraph 2 may be added as follows: “Member states may lay down rules for the covered bonds acceleration upon </w:t>
            </w:r>
            <w:r w:rsidR="00DD7D35" w:rsidRPr="00A42B3C">
              <w:rPr>
                <w:rFonts w:ascii="Calibri" w:eastAsia="Times New Roman" w:hAnsi="Calibri" w:cs="Calibri"/>
                <w:color w:val="000000"/>
                <w:sz w:val="14"/>
                <w:szCs w:val="14"/>
                <w:lang w:val="en-GB" w:eastAsia="en-GB"/>
              </w:rPr>
              <w:t>bondholders’</w:t>
            </w:r>
            <w:r w:rsidRPr="00A42B3C">
              <w:rPr>
                <w:rFonts w:ascii="Calibri" w:eastAsia="Times New Roman" w:hAnsi="Calibri" w:cs="Calibri"/>
                <w:color w:val="000000"/>
                <w:sz w:val="14"/>
                <w:szCs w:val="14"/>
                <w:lang w:val="en-GB" w:eastAsia="en-GB"/>
              </w:rPr>
              <w:t xml:space="preserve"> decision”</w:t>
            </w:r>
          </w:p>
        </w:tc>
        <w:tc>
          <w:tcPr>
            <w:tcW w:w="769" w:type="dxa"/>
            <w:tcBorders>
              <w:top w:val="single" w:sz="4" w:space="0" w:color="auto"/>
              <w:left w:val="single" w:sz="4" w:space="0" w:color="auto"/>
              <w:bottom w:val="single" w:sz="4" w:space="0" w:color="auto"/>
              <w:right w:val="single" w:sz="4" w:space="0" w:color="auto"/>
            </w:tcBorders>
          </w:tcPr>
          <w:p w:rsidR="001A3F26" w:rsidRPr="00A42B3C" w:rsidRDefault="00B67D2E" w:rsidP="000B7E74">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national</w:t>
            </w:r>
          </w:p>
        </w:tc>
      </w:tr>
    </w:tbl>
    <w:p w:rsidR="00462474" w:rsidRPr="00A42B3C" w:rsidRDefault="00462474" w:rsidP="0083395F">
      <w:pPr>
        <w:rPr>
          <w:rFonts w:asciiTheme="majorHAnsi" w:hAnsiTheme="majorHAnsi" w:cstheme="majorHAnsi"/>
          <w:i/>
          <w:sz w:val="20"/>
          <w:szCs w:val="20"/>
          <w:lang w:val="en-GB"/>
        </w:rPr>
      </w:pPr>
    </w:p>
    <w:p w:rsidR="0083395F" w:rsidRPr="00A42B3C" w:rsidRDefault="00A42B3C" w:rsidP="0083395F">
      <w:pPr>
        <w:rPr>
          <w:rFonts w:ascii="Calibri" w:eastAsia="Times New Roman" w:hAnsi="Calibri" w:cs="Calibri"/>
          <w:i/>
          <w:sz w:val="20"/>
          <w:szCs w:val="20"/>
          <w:lang w:val="en-GB" w:eastAsia="en-GB"/>
        </w:rPr>
      </w:pPr>
      <w:r w:rsidRPr="00A42B3C">
        <w:rPr>
          <w:rFonts w:asciiTheme="majorHAnsi" w:hAnsiTheme="majorHAnsi" w:cstheme="majorHAnsi"/>
          <w:i/>
          <w:sz w:val="20"/>
          <w:szCs w:val="20"/>
          <w:lang w:val="en-GB"/>
        </w:rPr>
        <w:t>Sources:</w:t>
      </w:r>
      <w:r w:rsidR="00B937C7" w:rsidRPr="00A42B3C">
        <w:rPr>
          <w:rFonts w:asciiTheme="majorHAnsi" w:hAnsiTheme="majorHAnsi" w:cstheme="majorHAnsi"/>
          <w:i/>
          <w:sz w:val="20"/>
          <w:szCs w:val="20"/>
          <w:lang w:val="en-GB"/>
        </w:rPr>
        <w:t xml:space="preserve"> </w:t>
      </w:r>
      <w:r w:rsidR="00B937C7" w:rsidRPr="00A42B3C">
        <w:rPr>
          <w:rFonts w:ascii="Calibri" w:eastAsia="Times New Roman" w:hAnsi="Calibri" w:cs="Calibri"/>
          <w:i/>
          <w:sz w:val="20"/>
          <w:szCs w:val="20"/>
          <w:lang w:val="en-GB" w:eastAsia="en-GB"/>
        </w:rPr>
        <w:t>PKO Bank Hipoteczny S.A</w:t>
      </w:r>
      <w:r w:rsidR="00013E62" w:rsidRPr="00A42B3C">
        <w:rPr>
          <w:rFonts w:ascii="Calibri" w:eastAsia="Times New Roman" w:hAnsi="Calibri" w:cs="Calibri"/>
          <w:i/>
          <w:sz w:val="20"/>
          <w:szCs w:val="20"/>
          <w:lang w:val="en-GB" w:eastAsia="en-GB"/>
        </w:rPr>
        <w:t>.</w:t>
      </w:r>
      <w:r w:rsidR="00EC74AD" w:rsidRPr="00A42B3C">
        <w:rPr>
          <w:rFonts w:ascii="Calibri" w:eastAsia="Times New Roman" w:hAnsi="Calibri" w:cs="Calibri"/>
          <w:i/>
          <w:sz w:val="20"/>
          <w:szCs w:val="20"/>
          <w:lang w:val="en-GB" w:eastAsia="en-GB"/>
        </w:rPr>
        <w:t>, mBank Hipoteczny S.A., pekao Bank Hipotezny S.A.</w:t>
      </w:r>
    </w:p>
    <w:p w:rsidR="00013E62" w:rsidRPr="00A42B3C" w:rsidRDefault="00013E62" w:rsidP="00BD0D33">
      <w:pPr>
        <w:pStyle w:val="Heading1"/>
      </w:pPr>
      <w:bookmarkStart w:id="21" w:name="_Spain"/>
      <w:bookmarkEnd w:id="21"/>
      <w:r w:rsidRPr="00A42B3C">
        <w:t>Spain</w:t>
      </w:r>
    </w:p>
    <w:p w:rsidR="00013E62" w:rsidRPr="00A42B3C" w:rsidRDefault="00013E62" w:rsidP="00013E62">
      <w:pPr>
        <w:rPr>
          <w:rFonts w:ascii="Calibri" w:eastAsia="Times New Roman" w:hAnsi="Calibri" w:cs="Calibri"/>
          <w:sz w:val="20"/>
          <w:szCs w:val="20"/>
          <w:lang w:val="en-GB" w:eastAsia="en-GB"/>
        </w:rPr>
      </w:pPr>
    </w:p>
    <w:tbl>
      <w:tblPr>
        <w:tblW w:w="12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92"/>
        <w:gridCol w:w="1559"/>
        <w:gridCol w:w="1985"/>
        <w:gridCol w:w="2409"/>
        <w:gridCol w:w="993"/>
        <w:gridCol w:w="1842"/>
        <w:gridCol w:w="1842"/>
      </w:tblGrid>
      <w:tr w:rsidR="00250941" w:rsidRPr="00A42B3C" w:rsidTr="00E962EB">
        <w:trPr>
          <w:trHeight w:val="475"/>
        </w:trPr>
        <w:tc>
          <w:tcPr>
            <w:tcW w:w="988"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250941" w:rsidRPr="00A42B3C" w:rsidRDefault="00250941" w:rsidP="00250941">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Ranking of priority</w:t>
            </w:r>
          </w:p>
        </w:tc>
        <w:tc>
          <w:tcPr>
            <w:tcW w:w="992"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250941" w:rsidRPr="00A42B3C" w:rsidRDefault="00250941" w:rsidP="00250941">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Location</w:t>
            </w:r>
          </w:p>
        </w:tc>
        <w:tc>
          <w:tcPr>
            <w:tcW w:w="1559"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250941" w:rsidRPr="00A42B3C" w:rsidRDefault="00250941" w:rsidP="00250941">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Precise passage concerned</w:t>
            </w:r>
          </w:p>
        </w:tc>
        <w:tc>
          <w:tcPr>
            <w:tcW w:w="1985"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250941" w:rsidRPr="00A42B3C" w:rsidRDefault="00250941" w:rsidP="00250941">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Description of the Issue</w:t>
            </w:r>
          </w:p>
        </w:tc>
        <w:tc>
          <w:tcPr>
            <w:tcW w:w="2409"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250941" w:rsidRPr="00A42B3C" w:rsidRDefault="00250941" w:rsidP="00250941">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Justification for potential amendment</w:t>
            </w:r>
          </w:p>
        </w:tc>
        <w:tc>
          <w:tcPr>
            <w:tcW w:w="993"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250941" w:rsidRPr="00A42B3C" w:rsidRDefault="00250941" w:rsidP="00250941">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Level of seriousness</w:t>
            </w:r>
          </w:p>
        </w:tc>
        <w:tc>
          <w:tcPr>
            <w:tcW w:w="1842"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250941" w:rsidRPr="00A42B3C" w:rsidRDefault="00250941" w:rsidP="00250941">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Proposal for a wording update</w:t>
            </w:r>
          </w:p>
        </w:tc>
        <w:tc>
          <w:tcPr>
            <w:tcW w:w="1842" w:type="dxa"/>
            <w:tcBorders>
              <w:top w:val="single" w:sz="4" w:space="0" w:color="auto"/>
              <w:left w:val="single" w:sz="4" w:space="0" w:color="auto"/>
              <w:bottom w:val="single" w:sz="4" w:space="0" w:color="auto"/>
              <w:right w:val="single" w:sz="4" w:space="0" w:color="auto"/>
            </w:tcBorders>
            <w:shd w:val="clear" w:color="auto" w:fill="DE821B"/>
            <w:vAlign w:val="center"/>
          </w:tcPr>
          <w:p w:rsidR="00250941" w:rsidRPr="00A42B3C" w:rsidRDefault="00250941" w:rsidP="00250941">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Scope</w:t>
            </w:r>
          </w:p>
        </w:tc>
      </w:tr>
      <w:tr w:rsidR="00250941" w:rsidRPr="00A42B3C" w:rsidTr="00250941">
        <w:trPr>
          <w:trHeight w:val="475"/>
        </w:trPr>
        <w:tc>
          <w:tcPr>
            <w:tcW w:w="988"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spacing w:line="256" w:lineRule="auto"/>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1</w:t>
            </w:r>
          </w:p>
        </w:tc>
        <w:tc>
          <w:tcPr>
            <w:tcW w:w="992"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 xml:space="preserve">art 6 of the Directive </w:t>
            </w:r>
          </w:p>
        </w:tc>
        <w:tc>
          <w:tcPr>
            <w:tcW w:w="1559"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Definition of critical assets</w:t>
            </w:r>
          </w:p>
        </w:tc>
        <w:tc>
          <w:tcPr>
            <w:tcW w:w="1985"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Introduction of a distinction between PCB and OCB</w:t>
            </w:r>
          </w:p>
        </w:tc>
        <w:tc>
          <w:tcPr>
            <w:tcW w:w="2409" w:type="dxa"/>
            <w:tcBorders>
              <w:top w:val="single" w:sz="4" w:space="0" w:color="auto"/>
              <w:left w:val="single" w:sz="4" w:space="0" w:color="auto"/>
              <w:bottom w:val="single" w:sz="4" w:space="0" w:color="auto"/>
              <w:right w:val="single" w:sz="4" w:space="0" w:color="auto"/>
            </w:tcBorders>
          </w:tcPr>
          <w:p w:rsidR="00250941" w:rsidRPr="00A42B3C" w:rsidRDefault="00250941" w:rsidP="000B7E74">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It puts at risk CB category as a well-</w:t>
            </w:r>
            <w:r w:rsidR="008D7B95" w:rsidRPr="00A42B3C">
              <w:rPr>
                <w:rFonts w:ascii="Calibri" w:eastAsia="Times New Roman" w:hAnsi="Calibri" w:cs="Calibri"/>
                <w:color w:val="000000"/>
                <w:sz w:val="14"/>
                <w:szCs w:val="14"/>
                <w:lang w:val="en-GB" w:eastAsia="en-GB"/>
              </w:rPr>
              <w:t>defined and</w:t>
            </w:r>
            <w:r w:rsidRPr="00A42B3C">
              <w:rPr>
                <w:rFonts w:ascii="Calibri" w:eastAsia="Times New Roman" w:hAnsi="Calibri" w:cs="Calibri"/>
                <w:color w:val="000000"/>
                <w:sz w:val="14"/>
                <w:szCs w:val="14"/>
                <w:lang w:val="en-GB" w:eastAsia="en-GB"/>
              </w:rPr>
              <w:t xml:space="preserve"> prestigious </w:t>
            </w:r>
            <w:r w:rsidR="00A42B3C" w:rsidRPr="00A42B3C">
              <w:rPr>
                <w:rFonts w:ascii="Calibri" w:eastAsia="Times New Roman" w:hAnsi="Calibri" w:cs="Calibri"/>
                <w:color w:val="000000"/>
                <w:sz w:val="14"/>
                <w:szCs w:val="14"/>
                <w:lang w:val="en-GB" w:eastAsia="en-GB"/>
              </w:rPr>
              <w:t>one. It</w:t>
            </w:r>
            <w:r w:rsidRPr="00A42B3C">
              <w:rPr>
                <w:rFonts w:ascii="Calibri" w:eastAsia="Times New Roman" w:hAnsi="Calibri" w:cs="Calibri"/>
                <w:color w:val="000000"/>
                <w:sz w:val="14"/>
                <w:szCs w:val="14"/>
                <w:lang w:val="en-GB" w:eastAsia="en-GB"/>
              </w:rPr>
              <w:t xml:space="preserve"> </w:t>
            </w:r>
            <w:r w:rsidR="00A42B3C" w:rsidRPr="00A42B3C">
              <w:rPr>
                <w:rFonts w:ascii="Calibri" w:eastAsia="Times New Roman" w:hAnsi="Calibri" w:cs="Calibri"/>
                <w:color w:val="000000"/>
                <w:sz w:val="14"/>
                <w:szCs w:val="14"/>
                <w:lang w:val="en-GB" w:eastAsia="en-GB"/>
              </w:rPr>
              <w:t>represents a</w:t>
            </w:r>
            <w:r w:rsidRPr="00A42B3C">
              <w:rPr>
                <w:rFonts w:ascii="Calibri" w:eastAsia="Times New Roman" w:hAnsi="Calibri" w:cs="Calibri"/>
                <w:color w:val="000000"/>
                <w:sz w:val="14"/>
                <w:szCs w:val="14"/>
                <w:lang w:val="en-GB" w:eastAsia="en-GB"/>
              </w:rPr>
              <w:t xml:space="preserve"> rather important innovation that eventually could hinder </w:t>
            </w:r>
            <w:r w:rsidR="00A42B3C" w:rsidRPr="00A42B3C">
              <w:rPr>
                <w:rFonts w:ascii="Calibri" w:eastAsia="Times New Roman" w:hAnsi="Calibri" w:cs="Calibri"/>
                <w:color w:val="000000"/>
                <w:sz w:val="14"/>
                <w:szCs w:val="14"/>
                <w:lang w:val="en-GB" w:eastAsia="en-GB"/>
              </w:rPr>
              <w:t>the approval</w:t>
            </w:r>
            <w:r w:rsidRPr="00A42B3C">
              <w:rPr>
                <w:rFonts w:ascii="Calibri" w:eastAsia="Times New Roman" w:hAnsi="Calibri" w:cs="Calibri"/>
                <w:color w:val="000000"/>
                <w:sz w:val="14"/>
                <w:szCs w:val="14"/>
                <w:lang w:val="en-GB" w:eastAsia="en-GB"/>
              </w:rPr>
              <w:t xml:space="preserve"> of the Directive in time.</w:t>
            </w:r>
          </w:p>
        </w:tc>
        <w:tc>
          <w:tcPr>
            <w:tcW w:w="993"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High</w:t>
            </w:r>
          </w:p>
        </w:tc>
        <w:tc>
          <w:tcPr>
            <w:tcW w:w="1842"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 xml:space="preserve">Keeping </w:t>
            </w:r>
            <w:r w:rsidR="008D7B95" w:rsidRPr="00A42B3C">
              <w:rPr>
                <w:rFonts w:ascii="Calibri" w:eastAsia="Times New Roman" w:hAnsi="Calibri" w:cs="Calibri"/>
                <w:color w:val="000000"/>
                <w:sz w:val="14"/>
                <w:szCs w:val="14"/>
                <w:lang w:val="en-GB" w:eastAsia="en-GB"/>
              </w:rPr>
              <w:t>EC proposal</w:t>
            </w:r>
            <w:r w:rsidRPr="00A42B3C">
              <w:rPr>
                <w:rFonts w:ascii="Calibri" w:eastAsia="Times New Roman" w:hAnsi="Calibri" w:cs="Calibri"/>
                <w:color w:val="000000"/>
                <w:sz w:val="14"/>
                <w:szCs w:val="14"/>
                <w:lang w:val="en-GB" w:eastAsia="en-GB"/>
              </w:rPr>
              <w:t xml:space="preserve"> wording</w:t>
            </w:r>
          </w:p>
        </w:tc>
        <w:tc>
          <w:tcPr>
            <w:tcW w:w="1842" w:type="dxa"/>
            <w:tcBorders>
              <w:top w:val="single" w:sz="4" w:space="0" w:color="auto"/>
              <w:left w:val="single" w:sz="4" w:space="0" w:color="auto"/>
              <w:bottom w:val="single" w:sz="4" w:space="0" w:color="auto"/>
              <w:right w:val="single" w:sz="4" w:space="0" w:color="auto"/>
            </w:tcBorders>
          </w:tcPr>
          <w:p w:rsidR="00250941" w:rsidRPr="00A42B3C" w:rsidRDefault="00250941" w:rsidP="000B7E74">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EU</w:t>
            </w:r>
          </w:p>
        </w:tc>
      </w:tr>
      <w:tr w:rsidR="00250941" w:rsidRPr="00A42B3C" w:rsidTr="00250941">
        <w:trPr>
          <w:trHeight w:val="475"/>
        </w:trPr>
        <w:tc>
          <w:tcPr>
            <w:tcW w:w="988"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spacing w:line="256" w:lineRule="auto"/>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2</w:t>
            </w:r>
          </w:p>
        </w:tc>
        <w:tc>
          <w:tcPr>
            <w:tcW w:w="992"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 xml:space="preserve">art 8 of the Directive </w:t>
            </w:r>
          </w:p>
        </w:tc>
        <w:tc>
          <w:tcPr>
            <w:tcW w:w="1559"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Intragroup pooled CB structures</w:t>
            </w:r>
          </w:p>
        </w:tc>
        <w:tc>
          <w:tcPr>
            <w:tcW w:w="1985"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Elimination of the figure.</w:t>
            </w:r>
          </w:p>
        </w:tc>
        <w:tc>
          <w:tcPr>
            <w:tcW w:w="2409" w:type="dxa"/>
            <w:tcBorders>
              <w:top w:val="single" w:sz="4" w:space="0" w:color="auto"/>
              <w:left w:val="single" w:sz="4" w:space="0" w:color="auto"/>
              <w:bottom w:val="single" w:sz="4" w:space="0" w:color="auto"/>
              <w:right w:val="single" w:sz="4" w:space="0" w:color="auto"/>
            </w:tcBorders>
          </w:tcPr>
          <w:p w:rsidR="00250941" w:rsidRPr="00A42B3C" w:rsidRDefault="00250941" w:rsidP="000B7E74">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 xml:space="preserve">Against rapporteur´s </w:t>
            </w:r>
            <w:r w:rsidR="008D7B95" w:rsidRPr="00A42B3C">
              <w:rPr>
                <w:rFonts w:ascii="Calibri" w:eastAsia="Times New Roman" w:hAnsi="Calibri" w:cs="Calibri"/>
                <w:color w:val="000000"/>
                <w:sz w:val="14"/>
                <w:szCs w:val="14"/>
                <w:lang w:val="en-GB" w:eastAsia="en-GB"/>
              </w:rPr>
              <w:t>opinion joint</w:t>
            </w:r>
            <w:r w:rsidRPr="00A42B3C">
              <w:rPr>
                <w:rFonts w:ascii="Calibri" w:eastAsia="Times New Roman" w:hAnsi="Calibri" w:cs="Calibri"/>
                <w:color w:val="000000"/>
                <w:sz w:val="14"/>
                <w:szCs w:val="14"/>
                <w:lang w:val="en-GB" w:eastAsia="en-GB"/>
              </w:rPr>
              <w:t xml:space="preserve"> funding (art 9</w:t>
            </w:r>
            <w:r w:rsidR="00A42B3C" w:rsidRPr="00A42B3C">
              <w:rPr>
                <w:rFonts w:ascii="Calibri" w:eastAsia="Times New Roman" w:hAnsi="Calibri" w:cs="Calibri"/>
                <w:color w:val="000000"/>
                <w:sz w:val="14"/>
                <w:szCs w:val="14"/>
                <w:lang w:val="en-GB" w:eastAsia="en-GB"/>
              </w:rPr>
              <w:t>) is</w:t>
            </w:r>
            <w:r w:rsidRPr="00A42B3C">
              <w:rPr>
                <w:rFonts w:ascii="Calibri" w:eastAsia="Times New Roman" w:hAnsi="Calibri" w:cs="Calibri"/>
                <w:color w:val="000000"/>
                <w:sz w:val="14"/>
                <w:szCs w:val="14"/>
                <w:lang w:val="en-GB" w:eastAsia="en-GB"/>
              </w:rPr>
              <w:t xml:space="preserve"> not a perfect replacement of </w:t>
            </w:r>
            <w:r w:rsidR="00A42B3C" w:rsidRPr="00A42B3C">
              <w:rPr>
                <w:rFonts w:ascii="Calibri" w:eastAsia="Times New Roman" w:hAnsi="Calibri" w:cs="Calibri"/>
                <w:color w:val="000000"/>
                <w:sz w:val="14"/>
                <w:szCs w:val="14"/>
                <w:lang w:val="en-GB" w:eastAsia="en-GB"/>
              </w:rPr>
              <w:t>ICBS an</w:t>
            </w:r>
            <w:r w:rsidR="00A42B3C">
              <w:rPr>
                <w:rFonts w:ascii="Calibri" w:eastAsia="Times New Roman" w:hAnsi="Calibri" w:cs="Calibri"/>
                <w:color w:val="000000"/>
                <w:sz w:val="14"/>
                <w:szCs w:val="14"/>
                <w:lang w:val="en-GB" w:eastAsia="en-GB"/>
              </w:rPr>
              <w:t>d</w:t>
            </w:r>
            <w:r w:rsidRPr="00A42B3C">
              <w:rPr>
                <w:rFonts w:ascii="Calibri" w:eastAsia="Times New Roman" w:hAnsi="Calibri" w:cs="Calibri"/>
                <w:color w:val="000000"/>
                <w:sz w:val="14"/>
                <w:szCs w:val="14"/>
                <w:lang w:val="en-GB" w:eastAsia="en-GB"/>
              </w:rPr>
              <w:t xml:space="preserve"> the latter category  ought to be preserved.</w:t>
            </w:r>
          </w:p>
        </w:tc>
        <w:tc>
          <w:tcPr>
            <w:tcW w:w="993"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moderate</w:t>
            </w:r>
          </w:p>
        </w:tc>
        <w:tc>
          <w:tcPr>
            <w:tcW w:w="1842"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 xml:space="preserve">Keeping </w:t>
            </w:r>
            <w:r w:rsidR="008D7B95" w:rsidRPr="00A42B3C">
              <w:rPr>
                <w:rFonts w:ascii="Calibri" w:eastAsia="Times New Roman" w:hAnsi="Calibri" w:cs="Calibri"/>
                <w:color w:val="000000"/>
                <w:sz w:val="14"/>
                <w:szCs w:val="14"/>
                <w:lang w:val="en-GB" w:eastAsia="en-GB"/>
              </w:rPr>
              <w:t>EC proposal</w:t>
            </w:r>
            <w:r w:rsidRPr="00A42B3C">
              <w:rPr>
                <w:rFonts w:ascii="Calibri" w:eastAsia="Times New Roman" w:hAnsi="Calibri" w:cs="Calibri"/>
                <w:color w:val="000000"/>
                <w:sz w:val="14"/>
                <w:szCs w:val="14"/>
                <w:lang w:val="en-GB" w:eastAsia="en-GB"/>
              </w:rPr>
              <w:t xml:space="preserve"> wording BUT </w:t>
            </w:r>
            <w:r w:rsidR="008D7B95" w:rsidRPr="00A42B3C">
              <w:rPr>
                <w:rFonts w:ascii="Calibri" w:eastAsia="Times New Roman" w:hAnsi="Calibri" w:cs="Calibri"/>
                <w:color w:val="000000"/>
                <w:sz w:val="14"/>
                <w:szCs w:val="14"/>
                <w:lang w:val="en-GB" w:eastAsia="en-GB"/>
              </w:rPr>
              <w:t>deleting letter</w:t>
            </w:r>
            <w:r w:rsidRPr="00A42B3C">
              <w:rPr>
                <w:rFonts w:ascii="Calibri" w:eastAsia="Times New Roman" w:hAnsi="Calibri" w:cs="Calibri"/>
                <w:color w:val="000000"/>
                <w:sz w:val="14"/>
                <w:szCs w:val="14"/>
                <w:lang w:val="en-GB" w:eastAsia="en-GB"/>
              </w:rPr>
              <w:t xml:space="preserve"> c </w:t>
            </w:r>
            <w:r w:rsidR="008D7B95" w:rsidRPr="00A42B3C">
              <w:rPr>
                <w:rFonts w:ascii="Calibri" w:eastAsia="Times New Roman" w:hAnsi="Calibri" w:cs="Calibri"/>
                <w:color w:val="000000"/>
                <w:sz w:val="14"/>
                <w:szCs w:val="14"/>
                <w:lang w:val="en-GB" w:eastAsia="en-GB"/>
              </w:rPr>
              <w:t>(Spanish</w:t>
            </w:r>
            <w:r w:rsidRPr="00A42B3C">
              <w:rPr>
                <w:rFonts w:ascii="Calibri" w:eastAsia="Times New Roman" w:hAnsi="Calibri" w:cs="Calibri"/>
                <w:color w:val="000000"/>
                <w:sz w:val="14"/>
                <w:szCs w:val="14"/>
                <w:lang w:val="en-GB" w:eastAsia="en-GB"/>
              </w:rPr>
              <w:t xml:space="preserve"> Mortgage A. "traditional "position, since we </w:t>
            </w:r>
            <w:r w:rsidR="008D7B95" w:rsidRPr="00A42B3C">
              <w:rPr>
                <w:rFonts w:ascii="Calibri" w:eastAsia="Times New Roman" w:hAnsi="Calibri" w:cs="Calibri"/>
                <w:color w:val="000000"/>
                <w:sz w:val="14"/>
                <w:szCs w:val="14"/>
                <w:lang w:val="en-GB" w:eastAsia="en-GB"/>
              </w:rPr>
              <w:t>understand</w:t>
            </w:r>
            <w:r w:rsidRPr="00A42B3C">
              <w:rPr>
                <w:rFonts w:ascii="Calibri" w:eastAsia="Times New Roman" w:hAnsi="Calibri" w:cs="Calibri"/>
                <w:color w:val="000000"/>
                <w:sz w:val="14"/>
                <w:szCs w:val="14"/>
                <w:lang w:val="en-GB" w:eastAsia="en-GB"/>
              </w:rPr>
              <w:t xml:space="preserve"> it forbids self-retained CB)</w:t>
            </w:r>
          </w:p>
        </w:tc>
        <w:tc>
          <w:tcPr>
            <w:tcW w:w="1842" w:type="dxa"/>
            <w:tcBorders>
              <w:top w:val="single" w:sz="4" w:space="0" w:color="auto"/>
              <w:left w:val="single" w:sz="4" w:space="0" w:color="auto"/>
              <w:bottom w:val="single" w:sz="4" w:space="0" w:color="auto"/>
              <w:right w:val="single" w:sz="4" w:space="0" w:color="auto"/>
            </w:tcBorders>
          </w:tcPr>
          <w:p w:rsidR="00250941" w:rsidRPr="00A42B3C" w:rsidRDefault="00250941" w:rsidP="000B7E74">
            <w:pPr>
              <w:jc w:val="both"/>
              <w:rPr>
                <w:rFonts w:ascii="Calibri" w:eastAsia="Times New Roman" w:hAnsi="Calibri" w:cs="Calibri"/>
                <w:color w:val="000000"/>
                <w:sz w:val="14"/>
                <w:szCs w:val="14"/>
                <w:lang w:val="en-GB" w:eastAsia="en-GB"/>
              </w:rPr>
            </w:pPr>
            <w:r w:rsidRPr="00A42B3C">
              <w:rPr>
                <w:rFonts w:ascii="Calibri" w:eastAsia="Times New Roman" w:hAnsi="Calibri" w:cs="Calibri"/>
                <w:color w:val="000000"/>
                <w:sz w:val="14"/>
                <w:szCs w:val="14"/>
                <w:lang w:val="en-GB" w:eastAsia="en-GB"/>
              </w:rPr>
              <w:t>EU</w:t>
            </w:r>
          </w:p>
        </w:tc>
      </w:tr>
    </w:tbl>
    <w:p w:rsidR="00013E62" w:rsidRPr="00A42B3C" w:rsidRDefault="00013E62" w:rsidP="00013E62">
      <w:pPr>
        <w:rPr>
          <w:rFonts w:ascii="Calibri" w:eastAsia="Times New Roman" w:hAnsi="Calibri" w:cs="Calibri"/>
          <w:i/>
          <w:sz w:val="20"/>
          <w:szCs w:val="18"/>
          <w:lang w:val="en-GB" w:eastAsia="en-GB"/>
        </w:rPr>
      </w:pPr>
      <w:r w:rsidRPr="00A42B3C">
        <w:rPr>
          <w:rFonts w:ascii="Calibri" w:eastAsia="Times New Roman" w:hAnsi="Calibri" w:cs="Calibri"/>
          <w:i/>
          <w:sz w:val="20"/>
          <w:szCs w:val="18"/>
          <w:lang w:val="en-GB" w:eastAsia="en-GB"/>
        </w:rPr>
        <w:t>Source: Spanish Mortgage Association</w:t>
      </w:r>
    </w:p>
    <w:p w:rsidR="00013E62" w:rsidRPr="00A42B3C" w:rsidRDefault="00013E62" w:rsidP="00013E62">
      <w:pPr>
        <w:rPr>
          <w:rFonts w:ascii="Calibri" w:eastAsia="Times New Roman" w:hAnsi="Calibri" w:cs="Calibri"/>
          <w:i/>
          <w:sz w:val="20"/>
          <w:szCs w:val="20"/>
          <w:lang w:val="en-GB" w:eastAsia="en-GB"/>
        </w:rPr>
      </w:pPr>
    </w:p>
    <w:p w:rsidR="00013E62" w:rsidRPr="00A42B3C" w:rsidRDefault="00013E62">
      <w:pPr>
        <w:rPr>
          <w:rFonts w:ascii="Calibri" w:eastAsia="Times New Roman" w:hAnsi="Calibri" w:cs="Calibri"/>
          <w:sz w:val="20"/>
          <w:szCs w:val="20"/>
          <w:lang w:val="en-GB" w:eastAsia="en-GB"/>
        </w:rPr>
      </w:pPr>
      <w:r w:rsidRPr="00A42B3C">
        <w:rPr>
          <w:rFonts w:ascii="Calibri" w:eastAsia="Times New Roman" w:hAnsi="Calibri" w:cs="Calibri"/>
          <w:sz w:val="20"/>
          <w:szCs w:val="20"/>
          <w:lang w:val="en-GB" w:eastAsia="en-GB"/>
        </w:rPr>
        <w:br w:type="page"/>
      </w:r>
    </w:p>
    <w:p w:rsidR="00013E62" w:rsidRPr="00A42B3C" w:rsidRDefault="00462474" w:rsidP="00013E62">
      <w:pPr>
        <w:pStyle w:val="Heading1"/>
      </w:pPr>
      <w:bookmarkStart w:id="22" w:name="_Sweden"/>
      <w:bookmarkEnd w:id="22"/>
      <w:r w:rsidRPr="00A42B3C">
        <w:rPr>
          <w:rFonts w:cstheme="majorHAnsi"/>
          <w:noProof/>
          <w:sz w:val="16"/>
          <w:szCs w:val="16"/>
        </w:rPr>
        <mc:AlternateContent>
          <mc:Choice Requires="wps">
            <w:drawing>
              <wp:anchor distT="0" distB="0" distL="114300" distR="114300" simplePos="0" relativeHeight="251675648" behindDoc="0" locked="0" layoutInCell="1" allowOverlap="1" wp14:anchorId="6966E401" wp14:editId="2B45F001">
                <wp:simplePos x="0" y="0"/>
                <wp:positionH relativeFrom="column">
                  <wp:posOffset>-420370</wp:posOffset>
                </wp:positionH>
                <wp:positionV relativeFrom="paragraph">
                  <wp:posOffset>5562600</wp:posOffset>
                </wp:positionV>
                <wp:extent cx="1572895" cy="274955"/>
                <wp:effectExtent l="0" t="0" r="8255" b="0"/>
                <wp:wrapNone/>
                <wp:docPr id="1" name="Text Box 1"/>
                <wp:cNvGraphicFramePr/>
                <a:graphic xmlns:a="http://schemas.openxmlformats.org/drawingml/2006/main">
                  <a:graphicData uri="http://schemas.microsoft.com/office/word/2010/wordprocessingShape">
                    <wps:wsp>
                      <wps:cNvSpPr txBox="1"/>
                      <wps:spPr>
                        <a:xfrm>
                          <a:off x="0" y="0"/>
                          <a:ext cx="1572895" cy="274955"/>
                        </a:xfrm>
                        <a:prstGeom prst="rect">
                          <a:avLst/>
                        </a:prstGeom>
                        <a:solidFill>
                          <a:schemeClr val="lt1"/>
                        </a:solidFill>
                        <a:ln w="6350">
                          <a:noFill/>
                        </a:ln>
                      </wps:spPr>
                      <wps:txbx>
                        <w:txbxContent>
                          <w:p w:rsidR="002F6214" w:rsidRPr="004A3071" w:rsidRDefault="002F6214" w:rsidP="00462474">
                            <w:pPr>
                              <w:rPr>
                                <w:rFonts w:asciiTheme="majorHAnsi" w:hAnsiTheme="majorHAnsi" w:cstheme="majorHAnsi"/>
                                <w:i/>
                                <w:sz w:val="20"/>
                                <w:szCs w:val="20"/>
                                <w:lang w:val="en-GB"/>
                              </w:rPr>
                            </w:pPr>
                            <w:r w:rsidRPr="004A3071">
                              <w:rPr>
                                <w:rFonts w:asciiTheme="majorHAnsi" w:hAnsiTheme="majorHAnsi" w:cstheme="majorHAnsi"/>
                                <w:i/>
                                <w:sz w:val="20"/>
                                <w:szCs w:val="20"/>
                                <w:lang w:val="en-GB"/>
                              </w:rPr>
                              <w:t xml:space="preserve">Source: </w:t>
                            </w:r>
                            <w:r>
                              <w:rPr>
                                <w:rFonts w:asciiTheme="majorHAnsi" w:hAnsiTheme="majorHAnsi" w:cstheme="majorHAnsi"/>
                                <w:i/>
                                <w:sz w:val="20"/>
                                <w:szCs w:val="20"/>
                                <w:lang w:val="en-GB"/>
                              </w:rPr>
                              <w:t>ASCB</w:t>
                            </w:r>
                          </w:p>
                          <w:p w:rsidR="002F6214" w:rsidRDefault="002F6214" w:rsidP="004624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6E401" id="Text Box 1" o:spid="_x0000_s1028" type="#_x0000_t202" style="position:absolute;left:0;text-align:left;margin-left:-33.1pt;margin-top:438pt;width:123.85pt;height:2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" fillcolor="white [3201]" stroked="f" strokeweight=".5pt">
                <v:textbox>
                  <w:txbxContent>
                    <w:p w:rsidR="002F6214" w:rsidRPr="004A3071" w:rsidRDefault="002F6214" w:rsidP="00462474">
                      <w:pPr>
                        <w:rPr>
                          <w:rFonts w:asciiTheme="majorHAnsi" w:hAnsiTheme="majorHAnsi" w:cstheme="majorHAnsi"/>
                          <w:i/>
                          <w:sz w:val="20"/>
                          <w:szCs w:val="20"/>
                          <w:lang w:val="en-GB"/>
                        </w:rPr>
                      </w:pPr>
                      <w:r w:rsidRPr="004A3071">
                        <w:rPr>
                          <w:rFonts w:asciiTheme="majorHAnsi" w:hAnsiTheme="majorHAnsi" w:cstheme="majorHAnsi"/>
                          <w:i/>
                          <w:sz w:val="20"/>
                          <w:szCs w:val="20"/>
                          <w:lang w:val="en-GB"/>
                        </w:rPr>
                        <w:t xml:space="preserve">Source: </w:t>
                      </w:r>
                      <w:r>
                        <w:rPr>
                          <w:rFonts w:asciiTheme="majorHAnsi" w:hAnsiTheme="majorHAnsi" w:cstheme="majorHAnsi"/>
                          <w:i/>
                          <w:sz w:val="20"/>
                          <w:szCs w:val="20"/>
                          <w:lang w:val="en-GB"/>
                        </w:rPr>
                        <w:t>ASCB</w:t>
                      </w:r>
                    </w:p>
                    <w:p w:rsidR="002F6214" w:rsidRDefault="002F6214" w:rsidP="00462474"/>
                  </w:txbxContent>
                </v:textbox>
              </v:shape>
            </w:pict>
          </mc:Fallback>
        </mc:AlternateContent>
      </w:r>
      <w:r w:rsidR="00013E62" w:rsidRPr="00A42B3C">
        <w:t>Sweden</w:t>
      </w:r>
    </w:p>
    <w:tbl>
      <w:tblPr>
        <w:tblW w:w="1559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276"/>
        <w:gridCol w:w="4111"/>
        <w:gridCol w:w="2409"/>
        <w:gridCol w:w="1985"/>
        <w:gridCol w:w="992"/>
        <w:gridCol w:w="3402"/>
        <w:gridCol w:w="709"/>
      </w:tblGrid>
      <w:tr w:rsidR="00250941" w:rsidRPr="00A42B3C" w:rsidTr="00462474">
        <w:trPr>
          <w:trHeight w:val="475"/>
        </w:trPr>
        <w:tc>
          <w:tcPr>
            <w:tcW w:w="709"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250941" w:rsidRPr="00A42B3C" w:rsidRDefault="00250941" w:rsidP="00250941">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Ranking of priority</w:t>
            </w:r>
          </w:p>
        </w:tc>
        <w:tc>
          <w:tcPr>
            <w:tcW w:w="1276"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250941" w:rsidRPr="00A42B3C" w:rsidRDefault="00250941" w:rsidP="00250941">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Location</w:t>
            </w:r>
          </w:p>
        </w:tc>
        <w:tc>
          <w:tcPr>
            <w:tcW w:w="4111"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250941" w:rsidRPr="00A42B3C" w:rsidRDefault="00250941" w:rsidP="00250941">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Precise passage concerned</w:t>
            </w:r>
          </w:p>
        </w:tc>
        <w:tc>
          <w:tcPr>
            <w:tcW w:w="2409"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250941" w:rsidRPr="00A42B3C" w:rsidRDefault="00250941" w:rsidP="00250941">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Description of the Issue</w:t>
            </w:r>
          </w:p>
        </w:tc>
        <w:tc>
          <w:tcPr>
            <w:tcW w:w="1985"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250941" w:rsidRPr="00A42B3C" w:rsidRDefault="00250941" w:rsidP="00250941">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Justification for potential amendment</w:t>
            </w:r>
          </w:p>
        </w:tc>
        <w:tc>
          <w:tcPr>
            <w:tcW w:w="992"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250941" w:rsidRPr="00A42B3C" w:rsidRDefault="00250941" w:rsidP="00250941">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Level of seriousness</w:t>
            </w:r>
          </w:p>
        </w:tc>
        <w:tc>
          <w:tcPr>
            <w:tcW w:w="3402"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250941" w:rsidRPr="00A42B3C" w:rsidRDefault="00250941" w:rsidP="00250941">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Proposal for a wording update</w:t>
            </w:r>
          </w:p>
        </w:tc>
        <w:tc>
          <w:tcPr>
            <w:tcW w:w="709" w:type="dxa"/>
            <w:tcBorders>
              <w:top w:val="single" w:sz="4" w:space="0" w:color="auto"/>
              <w:left w:val="single" w:sz="4" w:space="0" w:color="auto"/>
              <w:bottom w:val="single" w:sz="4" w:space="0" w:color="auto"/>
              <w:right w:val="single" w:sz="4" w:space="0" w:color="auto"/>
            </w:tcBorders>
            <w:shd w:val="clear" w:color="auto" w:fill="DE821B"/>
            <w:vAlign w:val="center"/>
          </w:tcPr>
          <w:p w:rsidR="00250941" w:rsidRPr="00A42B3C" w:rsidRDefault="00250941" w:rsidP="00250941">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Scope</w:t>
            </w:r>
          </w:p>
          <w:p w:rsidR="00250941" w:rsidRPr="00A42B3C" w:rsidRDefault="00250941" w:rsidP="00250941">
            <w:pPr>
              <w:rPr>
                <w:rFonts w:asciiTheme="majorHAnsi" w:eastAsia="Times New Roman" w:hAnsiTheme="majorHAnsi" w:cstheme="majorHAnsi"/>
                <w:b/>
                <w:color w:val="FFFFFF" w:themeColor="background1"/>
                <w:sz w:val="16"/>
                <w:szCs w:val="18"/>
                <w:lang w:val="en-GB" w:eastAsia="en-GB"/>
              </w:rPr>
            </w:pPr>
          </w:p>
        </w:tc>
      </w:tr>
      <w:tr w:rsidR="00250941" w:rsidRPr="00A42B3C" w:rsidTr="00462474">
        <w:trPr>
          <w:trHeight w:val="475"/>
        </w:trPr>
        <w:tc>
          <w:tcPr>
            <w:tcW w:w="709"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jc w:val="both"/>
              <w:rPr>
                <w:rFonts w:asciiTheme="majorHAnsi" w:eastAsia="Times New Roman" w:hAnsiTheme="majorHAnsi" w:cstheme="majorHAnsi"/>
                <w:color w:val="000000"/>
                <w:sz w:val="14"/>
                <w:szCs w:val="14"/>
                <w:lang w:val="en-GB" w:eastAsia="en-GB"/>
              </w:rPr>
            </w:pPr>
            <w:r w:rsidRPr="00A42B3C">
              <w:rPr>
                <w:rFonts w:asciiTheme="majorHAnsi" w:eastAsia="Times New Roman" w:hAnsiTheme="majorHAnsi" w:cstheme="majorHAnsi"/>
                <w:color w:val="000000"/>
                <w:sz w:val="14"/>
                <w:szCs w:val="14"/>
                <w:lang w:val="en-GB" w:eastAsia="en-GB"/>
              </w:rPr>
              <w:t>1</w:t>
            </w:r>
          </w:p>
        </w:tc>
        <w:tc>
          <w:tcPr>
            <w:tcW w:w="1276"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jc w:val="both"/>
              <w:rPr>
                <w:rFonts w:ascii="Calibri" w:hAnsi="Calibri" w:cs="Calibri"/>
                <w:sz w:val="14"/>
                <w:szCs w:val="14"/>
                <w:lang w:val="en-GB"/>
              </w:rPr>
            </w:pPr>
            <w:r w:rsidRPr="00A42B3C">
              <w:rPr>
                <w:rFonts w:ascii="Calibri" w:hAnsi="Calibri" w:cs="Calibri"/>
                <w:sz w:val="14"/>
                <w:szCs w:val="14"/>
                <w:lang w:val="en-GB"/>
              </w:rPr>
              <w:t>Article 3(1) in the Directive</w:t>
            </w:r>
          </w:p>
        </w:tc>
        <w:tc>
          <w:tcPr>
            <w:tcW w:w="4111" w:type="dxa"/>
            <w:tcBorders>
              <w:top w:val="single" w:sz="4" w:space="0" w:color="auto"/>
              <w:left w:val="single" w:sz="4" w:space="0" w:color="auto"/>
              <w:bottom w:val="single" w:sz="4" w:space="0" w:color="auto"/>
              <w:right w:val="single" w:sz="4" w:space="0" w:color="auto"/>
            </w:tcBorders>
          </w:tcPr>
          <w:p w:rsidR="00250941" w:rsidRPr="00A42B3C" w:rsidRDefault="00250941" w:rsidP="000B7E74">
            <w:pPr>
              <w:jc w:val="both"/>
              <w:rPr>
                <w:rFonts w:ascii="Calibri" w:hAnsi="Calibri" w:cs="Calibri"/>
                <w:sz w:val="14"/>
                <w:szCs w:val="14"/>
                <w:lang w:val="en-GB"/>
              </w:rPr>
            </w:pPr>
            <w:r w:rsidRPr="00A42B3C">
              <w:rPr>
                <w:rFonts w:ascii="Calibri" w:hAnsi="Calibri" w:cs="Calibri"/>
                <w:sz w:val="14"/>
                <w:szCs w:val="14"/>
                <w:lang w:val="en-GB"/>
              </w:rPr>
              <w:t xml:space="preserve">covered bond' means a debt obligation issued by a credit institution and secured by a cover pool of assets </w:t>
            </w:r>
            <w:r w:rsidRPr="00A42B3C">
              <w:rPr>
                <w:rFonts w:ascii="Calibri" w:hAnsi="Calibri" w:cs="Calibri"/>
                <w:b/>
                <w:bCs/>
                <w:i/>
                <w:iCs/>
                <w:sz w:val="14"/>
                <w:szCs w:val="14"/>
                <w:lang w:val="en-GB"/>
              </w:rPr>
              <w:t>to</w:t>
            </w:r>
            <w:r w:rsidRPr="00A42B3C">
              <w:rPr>
                <w:rFonts w:ascii="Calibri" w:hAnsi="Calibri" w:cs="Calibri"/>
                <w:b/>
                <w:bCs/>
                <w:sz w:val="14"/>
                <w:szCs w:val="14"/>
                <w:lang w:val="en-GB"/>
              </w:rPr>
              <w:t xml:space="preserve"> </w:t>
            </w:r>
            <w:r w:rsidRPr="00A42B3C">
              <w:rPr>
                <w:rFonts w:ascii="Calibri" w:hAnsi="Calibri" w:cs="Calibri"/>
                <w:sz w:val="14"/>
                <w:szCs w:val="14"/>
                <w:lang w:val="en-GB"/>
              </w:rPr>
              <w:t>which</w:t>
            </w:r>
            <w:r w:rsidRPr="00A42B3C">
              <w:rPr>
                <w:rFonts w:ascii="Calibri" w:hAnsi="Calibri" w:cs="Calibri"/>
                <w:b/>
                <w:bCs/>
                <w:sz w:val="14"/>
                <w:szCs w:val="14"/>
                <w:lang w:val="en-GB"/>
              </w:rPr>
              <w:t xml:space="preserve">, </w:t>
            </w:r>
            <w:r w:rsidRPr="00A42B3C">
              <w:rPr>
                <w:rFonts w:ascii="Calibri" w:hAnsi="Calibri" w:cs="Calibri"/>
                <w:b/>
                <w:bCs/>
                <w:i/>
                <w:iCs/>
                <w:sz w:val="14"/>
                <w:szCs w:val="14"/>
                <w:lang w:val="en-GB"/>
              </w:rPr>
              <w:t>in the case of resolution or insolvency of the covered bond issuer</w:t>
            </w:r>
            <w:r w:rsidRPr="00A42B3C">
              <w:rPr>
                <w:rFonts w:ascii="Calibri" w:hAnsi="Calibri" w:cs="Calibri"/>
                <w:b/>
                <w:bCs/>
                <w:sz w:val="14"/>
                <w:szCs w:val="14"/>
                <w:lang w:val="en-GB"/>
              </w:rPr>
              <w:t>,</w:t>
            </w:r>
            <w:r w:rsidRPr="00A42B3C">
              <w:rPr>
                <w:rFonts w:ascii="Calibri" w:hAnsi="Calibri" w:cs="Calibri"/>
                <w:sz w:val="14"/>
                <w:szCs w:val="14"/>
                <w:lang w:val="en-GB"/>
              </w:rPr>
              <w:t xml:space="preserve"> covered bond investors have direct recourse to as preferred creditors; </w:t>
            </w:r>
          </w:p>
        </w:tc>
        <w:tc>
          <w:tcPr>
            <w:tcW w:w="2409" w:type="dxa"/>
            <w:tcBorders>
              <w:top w:val="single" w:sz="4" w:space="0" w:color="auto"/>
              <w:left w:val="single" w:sz="4" w:space="0" w:color="auto"/>
              <w:bottom w:val="single" w:sz="4" w:space="0" w:color="auto"/>
              <w:right w:val="single" w:sz="4" w:space="0" w:color="auto"/>
            </w:tcBorders>
          </w:tcPr>
          <w:p w:rsidR="00250941" w:rsidRPr="00A42B3C" w:rsidRDefault="00250941" w:rsidP="000B7E74">
            <w:pPr>
              <w:jc w:val="both"/>
              <w:rPr>
                <w:rFonts w:ascii="Calibri" w:hAnsi="Calibri" w:cs="Calibri"/>
                <w:sz w:val="14"/>
                <w:szCs w:val="14"/>
                <w:lang w:val="en-GB"/>
              </w:rPr>
            </w:pPr>
            <w:r w:rsidRPr="00A42B3C">
              <w:rPr>
                <w:rFonts w:ascii="Calibri" w:hAnsi="Calibri" w:cs="Calibri"/>
                <w:sz w:val="14"/>
                <w:szCs w:val="14"/>
                <w:lang w:val="en-GB"/>
              </w:rPr>
              <w:t xml:space="preserve">ASCB is of the opinion that it would have been good if Mr Lucke had </w:t>
            </w:r>
            <w:r w:rsidR="008D7B95" w:rsidRPr="00A42B3C">
              <w:rPr>
                <w:rFonts w:ascii="Calibri" w:hAnsi="Calibri" w:cs="Calibri"/>
                <w:sz w:val="14"/>
                <w:szCs w:val="14"/>
                <w:lang w:val="en-GB"/>
              </w:rPr>
              <w:t>proposed further</w:t>
            </w:r>
            <w:r w:rsidRPr="00A42B3C">
              <w:rPr>
                <w:rFonts w:ascii="Calibri" w:hAnsi="Calibri" w:cs="Calibri"/>
                <w:sz w:val="14"/>
                <w:szCs w:val="14"/>
                <w:lang w:val="en-GB"/>
              </w:rPr>
              <w:t xml:space="preserve"> amendments to the definition of covered bonds, to make sure it is clear and comprehensive. Furthermore, references to the definition of covered bonds in other legal texts should always be made to (an </w:t>
            </w:r>
            <w:r w:rsidR="008D7B95" w:rsidRPr="00A42B3C">
              <w:rPr>
                <w:rFonts w:ascii="Calibri" w:hAnsi="Calibri" w:cs="Calibri"/>
                <w:sz w:val="14"/>
                <w:szCs w:val="14"/>
                <w:lang w:val="en-GB"/>
              </w:rPr>
              <w:t>enhanced</w:t>
            </w:r>
            <w:r w:rsidRPr="00A42B3C">
              <w:rPr>
                <w:rFonts w:ascii="Calibri" w:hAnsi="Calibri" w:cs="Calibri"/>
                <w:sz w:val="14"/>
                <w:szCs w:val="14"/>
                <w:lang w:val="en-GB"/>
              </w:rPr>
              <w:t xml:space="preserve"> </w:t>
            </w:r>
            <w:r w:rsidR="008D7B95" w:rsidRPr="00A42B3C">
              <w:rPr>
                <w:rFonts w:ascii="Calibri" w:hAnsi="Calibri" w:cs="Calibri"/>
                <w:sz w:val="14"/>
                <w:szCs w:val="14"/>
                <w:lang w:val="en-GB"/>
              </w:rPr>
              <w:t>version, see</w:t>
            </w:r>
            <w:r w:rsidRPr="00A42B3C">
              <w:rPr>
                <w:rFonts w:ascii="Calibri" w:hAnsi="Calibri" w:cs="Calibri"/>
                <w:sz w:val="14"/>
                <w:szCs w:val="14"/>
                <w:lang w:val="en-GB"/>
              </w:rPr>
              <w:t xml:space="preserve"> column F and H, of ) article 3(1).</w:t>
            </w:r>
          </w:p>
        </w:tc>
        <w:tc>
          <w:tcPr>
            <w:tcW w:w="1985"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jc w:val="both"/>
              <w:rPr>
                <w:rFonts w:ascii="Calibri" w:hAnsi="Calibri" w:cs="Calibri"/>
                <w:sz w:val="14"/>
                <w:szCs w:val="14"/>
                <w:lang w:val="en-GB"/>
              </w:rPr>
            </w:pPr>
            <w:r w:rsidRPr="00A42B3C">
              <w:rPr>
                <w:rFonts w:ascii="Calibri" w:hAnsi="Calibri" w:cs="Calibri"/>
                <w:sz w:val="14"/>
                <w:szCs w:val="14"/>
                <w:lang w:val="en-GB"/>
              </w:rPr>
              <w:t>ASCB suggests that the definition should be based on the definition in the UCITS directive article 52(4), and52(4) and include references to other relevant articles in the covered bonds directive. ASCB would specifically like to enhance the definition with requirements on regarding eligible assets.</w:t>
            </w:r>
          </w:p>
          <w:p w:rsidR="00250941" w:rsidRPr="00A42B3C" w:rsidRDefault="00250941" w:rsidP="000B7E74">
            <w:pPr>
              <w:jc w:val="both"/>
              <w:rPr>
                <w:rFonts w:asciiTheme="majorHAnsi" w:hAnsiTheme="majorHAnsi" w:cstheme="majorHAnsi"/>
                <w:color w:val="222222"/>
                <w:sz w:val="14"/>
                <w:szCs w:val="14"/>
                <w:lang w:val="en-GB"/>
              </w:rPr>
            </w:pPr>
          </w:p>
        </w:tc>
        <w:tc>
          <w:tcPr>
            <w:tcW w:w="992"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spacing w:line="256" w:lineRule="auto"/>
              <w:jc w:val="both"/>
              <w:rPr>
                <w:rFonts w:asciiTheme="majorHAnsi" w:eastAsia="Times New Roman" w:hAnsiTheme="majorHAnsi" w:cstheme="majorHAnsi"/>
                <w:color w:val="000000"/>
                <w:sz w:val="14"/>
                <w:szCs w:val="14"/>
                <w:lang w:val="en-GB" w:eastAsia="en-GB"/>
              </w:rPr>
            </w:pPr>
            <w:r w:rsidRPr="00A42B3C">
              <w:rPr>
                <w:rFonts w:asciiTheme="majorHAnsi" w:eastAsia="Times New Roman" w:hAnsiTheme="majorHAnsi" w:cstheme="majorHAnsi"/>
                <w:color w:val="000000"/>
                <w:sz w:val="14"/>
                <w:szCs w:val="14"/>
                <w:lang w:val="en-GB" w:eastAsia="en-GB"/>
              </w:rPr>
              <w:t>High</w:t>
            </w:r>
          </w:p>
        </w:tc>
        <w:tc>
          <w:tcPr>
            <w:tcW w:w="3402"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jc w:val="both"/>
              <w:rPr>
                <w:rFonts w:ascii="Calibri" w:hAnsi="Calibri" w:cs="Calibri"/>
                <w:sz w:val="14"/>
                <w:szCs w:val="14"/>
                <w:lang w:val="en-GB"/>
              </w:rPr>
            </w:pPr>
            <w:r w:rsidRPr="00A42B3C">
              <w:rPr>
                <w:rFonts w:ascii="Calibri" w:hAnsi="Calibri" w:cs="Calibri"/>
                <w:sz w:val="14"/>
                <w:szCs w:val="14"/>
                <w:lang w:val="en-GB"/>
              </w:rPr>
              <w:t xml:space="preserve">covered bond' means a debt obligation issued by a credit institution </w:t>
            </w:r>
            <w:r w:rsidRPr="00A42B3C">
              <w:rPr>
                <w:rFonts w:ascii="Calibri" w:hAnsi="Calibri" w:cs="Calibri"/>
                <w:b/>
                <w:bCs/>
                <w:sz w:val="14"/>
                <w:szCs w:val="14"/>
                <w:lang w:val="en-GB"/>
              </w:rPr>
              <w:t>under supervision according to article 18</w:t>
            </w:r>
            <w:r w:rsidRPr="00A42B3C">
              <w:rPr>
                <w:rFonts w:ascii="Calibri" w:hAnsi="Calibri" w:cs="Calibri"/>
                <w:sz w:val="14"/>
                <w:szCs w:val="14"/>
                <w:lang w:val="en-GB"/>
              </w:rPr>
              <w:t xml:space="preserve"> </w:t>
            </w:r>
            <w:r w:rsidRPr="00A42B3C">
              <w:rPr>
                <w:rFonts w:ascii="Calibri" w:hAnsi="Calibri" w:cs="Calibri"/>
                <w:strike/>
                <w:sz w:val="14"/>
                <w:szCs w:val="14"/>
                <w:lang w:val="en-GB"/>
              </w:rPr>
              <w:t>secured by a cover pool of assets which covered bond investors have direct recourse to as preferred creditors that</w:t>
            </w:r>
            <w:r w:rsidRPr="00A42B3C">
              <w:rPr>
                <w:rFonts w:ascii="Calibri" w:hAnsi="Calibri" w:cs="Calibri"/>
                <w:sz w:val="14"/>
                <w:szCs w:val="14"/>
                <w:lang w:val="en-GB"/>
              </w:rPr>
              <w:t xml:space="preserve"> </w:t>
            </w:r>
            <w:r w:rsidRPr="00A42B3C">
              <w:rPr>
                <w:rFonts w:ascii="Calibri" w:hAnsi="Calibri" w:cs="Calibri"/>
                <w:b/>
                <w:bCs/>
                <w:sz w:val="14"/>
                <w:szCs w:val="14"/>
                <w:lang w:val="en-GB"/>
              </w:rPr>
              <w:t>and which is a dual recourse instrument according to article 4, bankruptcy remote according to article 5, for which the assets in the cover pool shall be segregated according to article 12, and collateralised by eligible assets according to article 6</w:t>
            </w:r>
            <w:r w:rsidRPr="00A42B3C">
              <w:rPr>
                <w:rFonts w:ascii="Calibri" w:hAnsi="Calibri" w:cs="Calibri"/>
                <w:sz w:val="14"/>
                <w:szCs w:val="14"/>
                <w:lang w:val="en-GB"/>
              </w:rPr>
              <w:t>;</w:t>
            </w:r>
          </w:p>
          <w:p w:rsidR="00250941" w:rsidRPr="00A42B3C" w:rsidRDefault="00250941" w:rsidP="000B7E74">
            <w:pPr>
              <w:spacing w:line="256" w:lineRule="auto"/>
              <w:jc w:val="both"/>
              <w:rPr>
                <w:rFonts w:asciiTheme="majorHAnsi" w:eastAsia="Times New Roman" w:hAnsiTheme="majorHAnsi" w:cstheme="majorHAnsi"/>
                <w:color w:val="000000"/>
                <w:sz w:val="14"/>
                <w:szCs w:val="14"/>
                <w:lang w:val="en-GB" w:eastAsia="en-GB"/>
              </w:rPr>
            </w:pPr>
          </w:p>
        </w:tc>
        <w:tc>
          <w:tcPr>
            <w:tcW w:w="709" w:type="dxa"/>
            <w:tcBorders>
              <w:top w:val="single" w:sz="4" w:space="0" w:color="auto"/>
              <w:left w:val="single" w:sz="4" w:space="0" w:color="auto"/>
              <w:bottom w:val="single" w:sz="4" w:space="0" w:color="auto"/>
              <w:right w:val="single" w:sz="4" w:space="0" w:color="auto"/>
            </w:tcBorders>
          </w:tcPr>
          <w:p w:rsidR="00250941" w:rsidRPr="00A42B3C" w:rsidRDefault="00250941" w:rsidP="000B7E74">
            <w:pPr>
              <w:jc w:val="both"/>
              <w:rPr>
                <w:rFonts w:ascii="Calibri" w:hAnsi="Calibri" w:cs="Calibri"/>
                <w:sz w:val="14"/>
                <w:szCs w:val="14"/>
                <w:lang w:val="en-GB"/>
              </w:rPr>
            </w:pPr>
            <w:r w:rsidRPr="00A42B3C">
              <w:rPr>
                <w:rFonts w:ascii="Calibri" w:hAnsi="Calibri" w:cs="Calibri"/>
                <w:sz w:val="14"/>
                <w:szCs w:val="14"/>
                <w:lang w:val="en-GB"/>
              </w:rPr>
              <w:t>EU</w:t>
            </w:r>
          </w:p>
        </w:tc>
      </w:tr>
      <w:tr w:rsidR="00250941" w:rsidRPr="00A42B3C" w:rsidTr="00462474">
        <w:trPr>
          <w:trHeight w:val="475"/>
        </w:trPr>
        <w:tc>
          <w:tcPr>
            <w:tcW w:w="709"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jc w:val="both"/>
              <w:rPr>
                <w:rFonts w:asciiTheme="majorHAnsi" w:eastAsia="Times New Roman" w:hAnsiTheme="majorHAnsi" w:cstheme="majorHAnsi"/>
                <w:color w:val="000000"/>
                <w:sz w:val="14"/>
                <w:szCs w:val="14"/>
                <w:lang w:val="en-GB" w:eastAsia="en-GB"/>
              </w:rPr>
            </w:pPr>
            <w:r w:rsidRPr="00A42B3C">
              <w:rPr>
                <w:rFonts w:asciiTheme="majorHAnsi" w:eastAsia="Times New Roman" w:hAnsiTheme="majorHAnsi" w:cstheme="majorHAnsi"/>
                <w:color w:val="000000"/>
                <w:sz w:val="14"/>
                <w:szCs w:val="14"/>
                <w:lang w:val="en-GB" w:eastAsia="en-GB"/>
              </w:rPr>
              <w:t>2</w:t>
            </w:r>
          </w:p>
        </w:tc>
        <w:tc>
          <w:tcPr>
            <w:tcW w:w="1276"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jc w:val="both"/>
              <w:rPr>
                <w:rFonts w:ascii="Calibri" w:hAnsi="Calibri" w:cs="Calibri"/>
                <w:sz w:val="14"/>
                <w:szCs w:val="20"/>
                <w:lang w:val="en-GB"/>
              </w:rPr>
            </w:pPr>
            <w:r w:rsidRPr="00A42B3C">
              <w:rPr>
                <w:rFonts w:ascii="Calibri" w:hAnsi="Calibri" w:cs="Calibri"/>
                <w:sz w:val="14"/>
                <w:szCs w:val="20"/>
                <w:lang w:val="en-GB"/>
              </w:rPr>
              <w:t>Article 16 in the Directive, paragraphs 3.1 a (new) and 4 (deleted)</w:t>
            </w:r>
          </w:p>
        </w:tc>
        <w:tc>
          <w:tcPr>
            <w:tcW w:w="4111" w:type="dxa"/>
            <w:tcBorders>
              <w:top w:val="single" w:sz="4" w:space="0" w:color="auto"/>
              <w:left w:val="single" w:sz="4" w:space="0" w:color="auto"/>
              <w:bottom w:val="single" w:sz="4" w:space="0" w:color="auto"/>
              <w:right w:val="single" w:sz="4" w:space="0" w:color="auto"/>
            </w:tcBorders>
          </w:tcPr>
          <w:p w:rsidR="00250941" w:rsidRPr="00A42B3C" w:rsidRDefault="00250941" w:rsidP="000B7E74">
            <w:pPr>
              <w:jc w:val="both"/>
              <w:rPr>
                <w:rFonts w:ascii="Calibri" w:hAnsi="Calibri" w:cs="Calibri"/>
                <w:sz w:val="14"/>
                <w:szCs w:val="20"/>
                <w:lang w:val="en-GB"/>
              </w:rPr>
            </w:pPr>
            <w:r w:rsidRPr="00A42B3C">
              <w:rPr>
                <w:rFonts w:ascii="Calibri" w:hAnsi="Calibri" w:cs="Calibri"/>
                <w:sz w:val="14"/>
                <w:szCs w:val="20"/>
                <w:lang w:val="en-GB"/>
              </w:rPr>
              <w:t xml:space="preserve">(New) 3.1 a </w:t>
            </w:r>
            <w:r w:rsidRPr="00A42B3C">
              <w:rPr>
                <w:rFonts w:ascii="Calibri" w:hAnsi="Calibri" w:cs="Calibri"/>
                <w:b/>
                <w:bCs/>
                <w:i/>
                <w:iCs/>
                <w:sz w:val="14"/>
                <w:szCs w:val="20"/>
                <w:lang w:val="en-GB"/>
              </w:rPr>
              <w:t>Member States shall ensure that the assets referred to in (a) will only be eligible for satisfying the cover pool liquidity buffer requirement if those assets are not essential for maintaining the credit institution’s liquidity buffer referred to in Title II of Delegated Regulation (EU) 2015/61 at least at a level equal to the “net liquidity outflows over a 30 calendar day stress period“ referred to in Article 4 of that Delegated Regulation, assuming that the net liquidity outflow of the covered bond programme over the same 30 calendar day stress period is zero on the grounds of a sufficient liquidity buffer contained in the cover pool by virtue of paragraphs 1 and 2.</w:t>
            </w:r>
            <w:r w:rsidRPr="00A42B3C">
              <w:rPr>
                <w:rFonts w:ascii="Calibri" w:hAnsi="Calibri" w:cs="Calibri"/>
                <w:sz w:val="14"/>
                <w:szCs w:val="20"/>
                <w:lang w:val="en-GB"/>
              </w:rPr>
              <w:br/>
            </w:r>
            <w:r w:rsidRPr="00A42B3C">
              <w:rPr>
                <w:rFonts w:ascii="Calibri" w:hAnsi="Calibri" w:cs="Calibri"/>
                <w:sz w:val="14"/>
                <w:szCs w:val="20"/>
                <w:lang w:val="en-GB"/>
              </w:rPr>
              <w:br/>
              <w:t>(Deleted) 4. Where the credit institution issuing covered bonds is subject to liquidity requirements set out in other acts of Union law, Member States may decide that the national rules transposing paragraphs 1, 2 and 3 do not apply throughout the period foreseen in those acts of Union law.</w:t>
            </w:r>
          </w:p>
        </w:tc>
        <w:tc>
          <w:tcPr>
            <w:tcW w:w="2409" w:type="dxa"/>
            <w:tcBorders>
              <w:top w:val="single" w:sz="4" w:space="0" w:color="auto"/>
              <w:left w:val="single" w:sz="4" w:space="0" w:color="auto"/>
              <w:bottom w:val="single" w:sz="4" w:space="0" w:color="auto"/>
              <w:right w:val="single" w:sz="4" w:space="0" w:color="auto"/>
            </w:tcBorders>
          </w:tcPr>
          <w:p w:rsidR="00250941" w:rsidRPr="00A42B3C" w:rsidRDefault="00250941" w:rsidP="000B7E74">
            <w:pPr>
              <w:jc w:val="both"/>
              <w:rPr>
                <w:rFonts w:ascii="Calibri" w:hAnsi="Calibri" w:cs="Calibri"/>
                <w:sz w:val="14"/>
                <w:szCs w:val="20"/>
                <w:lang w:val="en-GB"/>
              </w:rPr>
            </w:pPr>
            <w:r w:rsidRPr="00A42B3C">
              <w:rPr>
                <w:rFonts w:ascii="Calibri" w:hAnsi="Calibri" w:cs="Calibri"/>
                <w:sz w:val="14"/>
                <w:szCs w:val="20"/>
                <w:lang w:val="en-GB"/>
              </w:rPr>
              <w:t>Mr Lucke</w:t>
            </w:r>
            <w:r w:rsidR="008D7B95" w:rsidRPr="00A42B3C">
              <w:rPr>
                <w:rFonts w:ascii="Calibri" w:hAnsi="Calibri" w:cs="Calibri"/>
                <w:sz w:val="14"/>
                <w:szCs w:val="20"/>
                <w:lang w:val="en-GB"/>
              </w:rPr>
              <w:t>’</w:t>
            </w:r>
            <w:r w:rsidRPr="00A42B3C">
              <w:rPr>
                <w:rFonts w:ascii="Calibri" w:hAnsi="Calibri" w:cs="Calibri"/>
                <w:sz w:val="14"/>
                <w:szCs w:val="20"/>
                <w:lang w:val="en-GB"/>
              </w:rPr>
              <w:t>s proposed subparagraph 3 is not an adequate solution for solving the problem with 30 days' double counting.</w:t>
            </w:r>
            <w:r w:rsidRPr="00A42B3C">
              <w:rPr>
                <w:rFonts w:ascii="Calibri" w:hAnsi="Calibri" w:cs="Calibri"/>
                <w:sz w:val="14"/>
                <w:szCs w:val="20"/>
                <w:lang w:val="en-GB"/>
              </w:rPr>
              <w:br/>
            </w:r>
            <w:r w:rsidRPr="00A42B3C">
              <w:rPr>
                <w:rFonts w:ascii="Calibri" w:hAnsi="Calibri" w:cs="Calibri"/>
                <w:sz w:val="14"/>
                <w:szCs w:val="20"/>
                <w:lang w:val="en-GB"/>
              </w:rPr>
              <w:br/>
              <w:t>The wording in article 16(4) should be kept, but amended in line with recital 21 and thus allow the Member States to decide that the paragraphs do not apply if the credit institution is subject to liquidity requirements in other acts of Union or national law</w:t>
            </w:r>
          </w:p>
        </w:tc>
        <w:tc>
          <w:tcPr>
            <w:tcW w:w="1985"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spacing w:after="240"/>
              <w:jc w:val="both"/>
              <w:rPr>
                <w:rFonts w:ascii="Calibri" w:hAnsi="Calibri" w:cs="Calibri"/>
                <w:sz w:val="14"/>
                <w:szCs w:val="20"/>
                <w:lang w:val="en-GB"/>
              </w:rPr>
            </w:pPr>
            <w:r w:rsidRPr="00A42B3C">
              <w:rPr>
                <w:rFonts w:ascii="Calibri" w:hAnsi="Calibri" w:cs="Calibri"/>
                <w:sz w:val="14"/>
                <w:szCs w:val="20"/>
                <w:lang w:val="en-GB"/>
              </w:rPr>
              <w:t>Liquidity should be managed centrally in the credit institution in accordance within the scope of legislation regarding liquidity already, and soon, in place (LCR, NSFR)</w:t>
            </w:r>
          </w:p>
          <w:p w:rsidR="00250941" w:rsidRPr="00A42B3C" w:rsidRDefault="00250941" w:rsidP="000B7E74">
            <w:pPr>
              <w:jc w:val="both"/>
              <w:rPr>
                <w:rFonts w:asciiTheme="majorHAnsi" w:eastAsia="Times New Roman" w:hAnsiTheme="majorHAnsi" w:cstheme="majorHAnsi"/>
                <w:color w:val="000000"/>
                <w:sz w:val="14"/>
                <w:szCs w:val="14"/>
                <w:lang w:val="en-GB" w:eastAsia="en-GB"/>
              </w:rPr>
            </w:pPr>
          </w:p>
        </w:tc>
        <w:tc>
          <w:tcPr>
            <w:tcW w:w="992"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spacing w:line="256" w:lineRule="auto"/>
              <w:jc w:val="both"/>
              <w:rPr>
                <w:rFonts w:asciiTheme="majorHAnsi" w:eastAsia="Times New Roman" w:hAnsiTheme="majorHAnsi" w:cstheme="majorHAnsi"/>
                <w:color w:val="000000"/>
                <w:sz w:val="14"/>
                <w:szCs w:val="14"/>
                <w:lang w:val="en-GB" w:eastAsia="en-GB"/>
              </w:rPr>
            </w:pPr>
            <w:r w:rsidRPr="00A42B3C">
              <w:rPr>
                <w:rFonts w:asciiTheme="majorHAnsi" w:eastAsia="Times New Roman" w:hAnsiTheme="majorHAnsi" w:cstheme="majorHAnsi"/>
                <w:color w:val="000000"/>
                <w:sz w:val="14"/>
                <w:szCs w:val="14"/>
                <w:lang w:val="en-GB" w:eastAsia="en-GB"/>
              </w:rPr>
              <w:t>High</w:t>
            </w:r>
          </w:p>
        </w:tc>
        <w:tc>
          <w:tcPr>
            <w:tcW w:w="3402"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spacing w:line="256" w:lineRule="auto"/>
              <w:jc w:val="both"/>
              <w:rPr>
                <w:rFonts w:asciiTheme="majorHAnsi" w:eastAsia="Times New Roman" w:hAnsiTheme="majorHAnsi" w:cstheme="majorHAnsi"/>
                <w:color w:val="000000"/>
                <w:sz w:val="14"/>
                <w:szCs w:val="14"/>
                <w:lang w:val="en-GB" w:eastAsia="en-GB"/>
              </w:rPr>
            </w:pPr>
            <w:r w:rsidRPr="00A42B3C">
              <w:rPr>
                <w:rFonts w:asciiTheme="majorHAnsi" w:eastAsia="Times New Roman" w:hAnsiTheme="majorHAnsi" w:cstheme="majorHAnsi"/>
                <w:color w:val="000000"/>
                <w:sz w:val="14"/>
                <w:szCs w:val="14"/>
                <w:lang w:val="en-GB" w:eastAsia="en-GB"/>
              </w:rPr>
              <w:t>[The new paragraph 3.1 a deleted]</w:t>
            </w:r>
          </w:p>
          <w:p w:rsidR="00250941" w:rsidRPr="00A42B3C" w:rsidRDefault="00250941" w:rsidP="000B7E74">
            <w:pPr>
              <w:spacing w:line="256" w:lineRule="auto"/>
              <w:jc w:val="both"/>
              <w:rPr>
                <w:rFonts w:asciiTheme="majorHAnsi" w:eastAsia="Times New Roman" w:hAnsiTheme="majorHAnsi" w:cstheme="majorHAnsi"/>
                <w:color w:val="000000"/>
                <w:sz w:val="14"/>
                <w:szCs w:val="14"/>
                <w:lang w:val="en-GB" w:eastAsia="en-GB"/>
              </w:rPr>
            </w:pPr>
          </w:p>
          <w:p w:rsidR="00250941" w:rsidRPr="00A42B3C" w:rsidRDefault="00250941" w:rsidP="000B7E74">
            <w:pPr>
              <w:spacing w:line="256" w:lineRule="auto"/>
              <w:jc w:val="both"/>
              <w:rPr>
                <w:rFonts w:asciiTheme="majorHAnsi" w:eastAsia="Times New Roman" w:hAnsiTheme="majorHAnsi" w:cstheme="majorHAnsi"/>
                <w:color w:val="000000"/>
                <w:sz w:val="14"/>
                <w:szCs w:val="14"/>
                <w:lang w:val="en-GB" w:eastAsia="en-GB"/>
              </w:rPr>
            </w:pPr>
            <w:r w:rsidRPr="00A42B3C">
              <w:rPr>
                <w:rFonts w:asciiTheme="majorHAnsi" w:eastAsia="Times New Roman" w:hAnsiTheme="majorHAnsi" w:cstheme="majorHAnsi"/>
                <w:color w:val="000000"/>
                <w:sz w:val="14"/>
                <w:szCs w:val="14"/>
                <w:lang w:val="en-GB" w:eastAsia="en-GB"/>
              </w:rPr>
              <w:t xml:space="preserve">4. Where the credit institution issuing covered bonds is subject to liquidity requirements set out in other acts of Union </w:t>
            </w:r>
            <w:r w:rsidRPr="00A42B3C">
              <w:rPr>
                <w:rFonts w:asciiTheme="majorHAnsi" w:eastAsia="Times New Roman" w:hAnsiTheme="majorHAnsi" w:cstheme="majorHAnsi"/>
                <w:b/>
                <w:color w:val="000000"/>
                <w:sz w:val="14"/>
                <w:szCs w:val="14"/>
                <w:lang w:val="en-GB" w:eastAsia="en-GB"/>
              </w:rPr>
              <w:t>or national law</w:t>
            </w:r>
            <w:r w:rsidRPr="00A42B3C">
              <w:rPr>
                <w:rFonts w:asciiTheme="majorHAnsi" w:eastAsia="Times New Roman" w:hAnsiTheme="majorHAnsi" w:cstheme="majorHAnsi"/>
                <w:color w:val="000000"/>
                <w:sz w:val="14"/>
                <w:szCs w:val="14"/>
                <w:lang w:val="en-GB" w:eastAsia="en-GB"/>
              </w:rPr>
              <w:t xml:space="preserve">, Member States may decide that the national rules transposing paragraphs 1, 2 and 3 do not apply throughout the period foreseen in those acts of Union or national law. </w:t>
            </w:r>
          </w:p>
        </w:tc>
        <w:tc>
          <w:tcPr>
            <w:tcW w:w="709" w:type="dxa"/>
            <w:tcBorders>
              <w:top w:val="single" w:sz="4" w:space="0" w:color="auto"/>
              <w:left w:val="single" w:sz="4" w:space="0" w:color="auto"/>
              <w:bottom w:val="single" w:sz="4" w:space="0" w:color="auto"/>
              <w:right w:val="single" w:sz="4" w:space="0" w:color="auto"/>
            </w:tcBorders>
          </w:tcPr>
          <w:p w:rsidR="00250941" w:rsidRPr="00A42B3C" w:rsidRDefault="00250941" w:rsidP="000B7E74">
            <w:pPr>
              <w:spacing w:line="256" w:lineRule="auto"/>
              <w:jc w:val="both"/>
              <w:rPr>
                <w:rFonts w:asciiTheme="majorHAnsi" w:eastAsia="Times New Roman" w:hAnsiTheme="majorHAnsi" w:cstheme="majorHAnsi"/>
                <w:color w:val="000000"/>
                <w:sz w:val="14"/>
                <w:szCs w:val="14"/>
                <w:lang w:val="en-GB" w:eastAsia="en-GB"/>
              </w:rPr>
            </w:pPr>
            <w:r w:rsidRPr="00A42B3C">
              <w:rPr>
                <w:rFonts w:asciiTheme="majorHAnsi" w:eastAsia="Times New Roman" w:hAnsiTheme="majorHAnsi" w:cstheme="majorHAnsi"/>
                <w:color w:val="000000"/>
                <w:sz w:val="14"/>
                <w:szCs w:val="14"/>
                <w:lang w:val="en-GB" w:eastAsia="en-GB"/>
              </w:rPr>
              <w:t>EU</w:t>
            </w:r>
          </w:p>
        </w:tc>
      </w:tr>
      <w:tr w:rsidR="00250941" w:rsidRPr="00A42B3C" w:rsidTr="00462474">
        <w:trPr>
          <w:trHeight w:val="475"/>
        </w:trPr>
        <w:tc>
          <w:tcPr>
            <w:tcW w:w="709"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jc w:val="both"/>
              <w:rPr>
                <w:rFonts w:asciiTheme="majorHAnsi" w:eastAsia="Times New Roman" w:hAnsiTheme="majorHAnsi" w:cstheme="majorHAnsi"/>
                <w:color w:val="000000"/>
                <w:sz w:val="14"/>
                <w:szCs w:val="14"/>
                <w:lang w:val="en-GB" w:eastAsia="en-GB"/>
              </w:rPr>
            </w:pPr>
            <w:r w:rsidRPr="00A42B3C">
              <w:rPr>
                <w:rFonts w:asciiTheme="majorHAnsi" w:eastAsia="Times New Roman" w:hAnsiTheme="majorHAnsi" w:cstheme="majorHAnsi"/>
                <w:color w:val="000000"/>
                <w:sz w:val="14"/>
                <w:szCs w:val="14"/>
                <w:lang w:val="en-GB" w:eastAsia="en-GB"/>
              </w:rPr>
              <w:t>3</w:t>
            </w:r>
          </w:p>
        </w:tc>
        <w:tc>
          <w:tcPr>
            <w:tcW w:w="1276"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jc w:val="both"/>
              <w:rPr>
                <w:rFonts w:ascii="Calibri" w:hAnsi="Calibri" w:cs="Calibri"/>
                <w:sz w:val="14"/>
                <w:szCs w:val="20"/>
                <w:lang w:val="en-GB"/>
              </w:rPr>
            </w:pPr>
            <w:r w:rsidRPr="00A42B3C">
              <w:rPr>
                <w:rFonts w:ascii="Calibri" w:hAnsi="Calibri" w:cs="Calibri"/>
                <w:sz w:val="14"/>
                <w:szCs w:val="20"/>
                <w:lang w:val="en-GB"/>
              </w:rPr>
              <w:t>Article 6 a (new) in the directive</w:t>
            </w:r>
          </w:p>
        </w:tc>
        <w:tc>
          <w:tcPr>
            <w:tcW w:w="4111" w:type="dxa"/>
            <w:tcBorders>
              <w:top w:val="single" w:sz="4" w:space="0" w:color="auto"/>
              <w:left w:val="single" w:sz="4" w:space="0" w:color="auto"/>
              <w:bottom w:val="single" w:sz="4" w:space="0" w:color="auto"/>
              <w:right w:val="single" w:sz="4" w:space="0" w:color="auto"/>
            </w:tcBorders>
          </w:tcPr>
          <w:p w:rsidR="00250941" w:rsidRPr="00A42B3C" w:rsidRDefault="00250941" w:rsidP="000B7E74">
            <w:pPr>
              <w:jc w:val="both"/>
              <w:rPr>
                <w:rFonts w:ascii="Calibri" w:hAnsi="Calibri" w:cs="Calibri"/>
                <w:sz w:val="14"/>
                <w:szCs w:val="20"/>
                <w:lang w:val="en-GB"/>
              </w:rPr>
            </w:pPr>
            <w:r w:rsidRPr="00A42B3C">
              <w:rPr>
                <w:rFonts w:ascii="Calibri" w:hAnsi="Calibri" w:cs="Calibri"/>
                <w:sz w:val="14"/>
                <w:szCs w:val="20"/>
                <w:lang w:val="en-GB"/>
              </w:rPr>
              <w:t> </w:t>
            </w:r>
          </w:p>
        </w:tc>
        <w:tc>
          <w:tcPr>
            <w:tcW w:w="2409" w:type="dxa"/>
            <w:tcBorders>
              <w:top w:val="single" w:sz="4" w:space="0" w:color="auto"/>
              <w:left w:val="single" w:sz="4" w:space="0" w:color="auto"/>
              <w:bottom w:val="single" w:sz="4" w:space="0" w:color="auto"/>
              <w:right w:val="single" w:sz="4" w:space="0" w:color="auto"/>
            </w:tcBorders>
          </w:tcPr>
          <w:p w:rsidR="00250941" w:rsidRPr="00A42B3C" w:rsidRDefault="00250941" w:rsidP="000B7E74">
            <w:pPr>
              <w:jc w:val="both"/>
              <w:rPr>
                <w:rFonts w:ascii="Calibri" w:hAnsi="Calibri" w:cs="Calibri"/>
                <w:sz w:val="14"/>
                <w:szCs w:val="20"/>
                <w:lang w:val="en-GB"/>
              </w:rPr>
            </w:pPr>
            <w:r w:rsidRPr="00A42B3C">
              <w:rPr>
                <w:rFonts w:ascii="Calibri" w:hAnsi="Calibri" w:cs="Calibri"/>
                <w:sz w:val="14"/>
                <w:szCs w:val="20"/>
                <w:lang w:val="en-GB"/>
              </w:rPr>
              <w:t>ASCB is of the opinion that the inclusion of non-CRR compliant assets would dilute the covered bond product.</w:t>
            </w:r>
          </w:p>
        </w:tc>
        <w:tc>
          <w:tcPr>
            <w:tcW w:w="1985"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pStyle w:val="PlainText"/>
              <w:jc w:val="both"/>
              <w:rPr>
                <w:rFonts w:asciiTheme="majorHAnsi" w:eastAsia="Times New Roman" w:hAnsiTheme="majorHAnsi" w:cstheme="majorHAnsi"/>
                <w:color w:val="000000"/>
                <w:sz w:val="14"/>
                <w:szCs w:val="14"/>
                <w:lang w:val="en-GB" w:eastAsia="en-GB"/>
              </w:rPr>
            </w:pPr>
            <w:r w:rsidRPr="00A42B3C">
              <w:rPr>
                <w:rFonts w:asciiTheme="majorHAnsi" w:eastAsia="Times New Roman" w:hAnsiTheme="majorHAnsi" w:cstheme="majorHAnsi"/>
                <w:color w:val="000000"/>
                <w:sz w:val="14"/>
                <w:szCs w:val="14"/>
                <w:lang w:val="en-GB" w:eastAsia="en-GB"/>
              </w:rPr>
              <w:t>The inclusion of additional layers of cover bonds would be detrimental to the whole covered bond concept and also delay the whole package.</w:t>
            </w:r>
          </w:p>
        </w:tc>
        <w:tc>
          <w:tcPr>
            <w:tcW w:w="992"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spacing w:line="280" w:lineRule="atLeast"/>
              <w:jc w:val="both"/>
              <w:rPr>
                <w:rFonts w:asciiTheme="majorHAnsi" w:eastAsia="Times New Roman" w:hAnsiTheme="majorHAnsi" w:cstheme="majorHAnsi"/>
                <w:color w:val="000000"/>
                <w:sz w:val="14"/>
                <w:szCs w:val="14"/>
                <w:lang w:val="en-GB" w:eastAsia="en-GB"/>
              </w:rPr>
            </w:pPr>
            <w:r w:rsidRPr="00A42B3C">
              <w:rPr>
                <w:rFonts w:asciiTheme="majorHAnsi" w:eastAsia="Times New Roman" w:hAnsiTheme="majorHAnsi" w:cstheme="majorHAnsi"/>
                <w:color w:val="000000"/>
                <w:sz w:val="14"/>
                <w:szCs w:val="14"/>
                <w:lang w:val="en-GB" w:eastAsia="en-GB"/>
              </w:rPr>
              <w:t>High</w:t>
            </w:r>
          </w:p>
        </w:tc>
        <w:tc>
          <w:tcPr>
            <w:tcW w:w="3402"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spacing w:line="256" w:lineRule="auto"/>
              <w:jc w:val="both"/>
              <w:rPr>
                <w:rFonts w:asciiTheme="majorHAnsi" w:eastAsia="Times New Roman" w:hAnsiTheme="majorHAnsi" w:cstheme="majorHAnsi"/>
                <w:color w:val="000000"/>
                <w:sz w:val="14"/>
                <w:szCs w:val="14"/>
                <w:lang w:val="en-GB" w:eastAsia="en-GB"/>
              </w:rPr>
            </w:pPr>
            <w:r w:rsidRPr="00A42B3C">
              <w:rPr>
                <w:rFonts w:asciiTheme="majorHAnsi" w:eastAsia="Times New Roman" w:hAnsiTheme="majorHAnsi" w:cstheme="majorHAnsi"/>
                <w:color w:val="000000"/>
                <w:sz w:val="14"/>
                <w:szCs w:val="14"/>
                <w:lang w:val="en-GB" w:eastAsia="en-GB"/>
              </w:rPr>
              <w:t>[The new article 6 a deleted]</w:t>
            </w:r>
          </w:p>
        </w:tc>
        <w:tc>
          <w:tcPr>
            <w:tcW w:w="709" w:type="dxa"/>
            <w:tcBorders>
              <w:top w:val="single" w:sz="4" w:space="0" w:color="auto"/>
              <w:left w:val="single" w:sz="4" w:space="0" w:color="auto"/>
              <w:bottom w:val="single" w:sz="4" w:space="0" w:color="auto"/>
              <w:right w:val="single" w:sz="4" w:space="0" w:color="auto"/>
            </w:tcBorders>
          </w:tcPr>
          <w:p w:rsidR="00250941" w:rsidRPr="00A42B3C" w:rsidRDefault="00250941" w:rsidP="000B7E74">
            <w:pPr>
              <w:spacing w:line="256" w:lineRule="auto"/>
              <w:jc w:val="both"/>
              <w:rPr>
                <w:rFonts w:asciiTheme="majorHAnsi" w:eastAsia="Times New Roman" w:hAnsiTheme="majorHAnsi" w:cstheme="majorHAnsi"/>
                <w:color w:val="000000"/>
                <w:sz w:val="14"/>
                <w:szCs w:val="14"/>
                <w:lang w:val="en-GB" w:eastAsia="en-GB"/>
              </w:rPr>
            </w:pPr>
            <w:r w:rsidRPr="00A42B3C">
              <w:rPr>
                <w:rFonts w:asciiTheme="majorHAnsi" w:eastAsia="Times New Roman" w:hAnsiTheme="majorHAnsi" w:cstheme="majorHAnsi"/>
                <w:color w:val="000000"/>
                <w:sz w:val="14"/>
                <w:szCs w:val="14"/>
                <w:lang w:val="en-GB" w:eastAsia="en-GB"/>
              </w:rPr>
              <w:t>EU</w:t>
            </w:r>
          </w:p>
        </w:tc>
      </w:tr>
      <w:tr w:rsidR="00250941" w:rsidRPr="00A42B3C" w:rsidTr="00462474">
        <w:trPr>
          <w:trHeight w:val="475"/>
        </w:trPr>
        <w:tc>
          <w:tcPr>
            <w:tcW w:w="709"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jc w:val="both"/>
              <w:rPr>
                <w:rFonts w:asciiTheme="majorHAnsi" w:eastAsia="Times New Roman" w:hAnsiTheme="majorHAnsi" w:cstheme="majorHAnsi"/>
                <w:color w:val="000000"/>
                <w:sz w:val="14"/>
                <w:szCs w:val="14"/>
                <w:lang w:val="en-GB" w:eastAsia="en-GB"/>
              </w:rPr>
            </w:pPr>
            <w:r w:rsidRPr="00A42B3C">
              <w:rPr>
                <w:rFonts w:asciiTheme="majorHAnsi" w:eastAsia="Times New Roman" w:hAnsiTheme="majorHAnsi" w:cstheme="majorHAnsi"/>
                <w:color w:val="000000"/>
                <w:sz w:val="14"/>
                <w:szCs w:val="14"/>
                <w:lang w:val="en-GB" w:eastAsia="en-GB"/>
              </w:rPr>
              <w:t>4</w:t>
            </w:r>
          </w:p>
        </w:tc>
        <w:tc>
          <w:tcPr>
            <w:tcW w:w="1276"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jc w:val="both"/>
              <w:rPr>
                <w:rFonts w:ascii="Calibri" w:hAnsi="Calibri" w:cs="Calibri"/>
                <w:sz w:val="14"/>
                <w:szCs w:val="20"/>
                <w:lang w:val="en-GB"/>
              </w:rPr>
            </w:pPr>
            <w:r w:rsidRPr="00A42B3C">
              <w:rPr>
                <w:rFonts w:ascii="Calibri" w:hAnsi="Calibri" w:cs="Calibri"/>
                <w:sz w:val="14"/>
                <w:szCs w:val="20"/>
                <w:lang w:val="en-GB"/>
              </w:rPr>
              <w:t>Article 1(1) a) iii) in the Regulation, proposing amendments to CRR art 129, paragraph 1, subparagraph 3</w:t>
            </w:r>
          </w:p>
        </w:tc>
        <w:tc>
          <w:tcPr>
            <w:tcW w:w="4111" w:type="dxa"/>
            <w:tcBorders>
              <w:top w:val="single" w:sz="4" w:space="0" w:color="auto"/>
              <w:left w:val="single" w:sz="4" w:space="0" w:color="auto"/>
              <w:bottom w:val="single" w:sz="4" w:space="0" w:color="auto"/>
              <w:right w:val="single" w:sz="4" w:space="0" w:color="auto"/>
            </w:tcBorders>
          </w:tcPr>
          <w:p w:rsidR="00250941" w:rsidRPr="00A42B3C" w:rsidRDefault="00250941" w:rsidP="000B7E74">
            <w:pPr>
              <w:jc w:val="both"/>
              <w:rPr>
                <w:rFonts w:ascii="Calibri" w:hAnsi="Calibri" w:cs="Calibri"/>
                <w:sz w:val="14"/>
                <w:szCs w:val="20"/>
                <w:lang w:val="en-GB"/>
              </w:rPr>
            </w:pPr>
            <w:r w:rsidRPr="00A42B3C">
              <w:rPr>
                <w:rFonts w:ascii="Calibri" w:hAnsi="Calibri" w:cs="Calibri"/>
                <w:b/>
                <w:bCs/>
                <w:i/>
                <w:iCs/>
                <w:sz w:val="14"/>
                <w:szCs w:val="20"/>
                <w:lang w:val="en-GB"/>
              </w:rPr>
              <w:t>If significant concentration problems in some Member States can be documented due to the application of the credit quality step 1 requirement referred to in point (c) of the first subparagraph, EBA may, for all credit institutions concerned and for a period of at most three years, waive the application of this subparagraph and allow credit quality step 2 exposures for up to 10% of the total exposure of the nominal amount of outstanding covered bonds of the issuing institution. EBA may repeal this decision any time, provided it grants credit institutions an adequate transition period</w:t>
            </w:r>
            <w:r w:rsidRPr="00A42B3C">
              <w:rPr>
                <w:rFonts w:ascii="Calibri" w:hAnsi="Calibri" w:cs="Calibri"/>
                <w:sz w:val="14"/>
                <w:szCs w:val="20"/>
                <w:lang w:val="en-GB"/>
              </w:rPr>
              <w:t>.</w:t>
            </w:r>
          </w:p>
        </w:tc>
        <w:tc>
          <w:tcPr>
            <w:tcW w:w="2409" w:type="dxa"/>
            <w:tcBorders>
              <w:top w:val="single" w:sz="4" w:space="0" w:color="auto"/>
              <w:left w:val="single" w:sz="4" w:space="0" w:color="auto"/>
              <w:bottom w:val="single" w:sz="4" w:space="0" w:color="auto"/>
              <w:right w:val="single" w:sz="4" w:space="0" w:color="auto"/>
            </w:tcBorders>
          </w:tcPr>
          <w:p w:rsidR="00250941" w:rsidRPr="00A42B3C" w:rsidRDefault="00250941" w:rsidP="000B7E74">
            <w:pPr>
              <w:jc w:val="both"/>
              <w:rPr>
                <w:rFonts w:ascii="Calibri" w:hAnsi="Calibri" w:cs="Calibri"/>
                <w:sz w:val="14"/>
                <w:szCs w:val="20"/>
                <w:lang w:val="en-GB"/>
              </w:rPr>
            </w:pPr>
            <w:r w:rsidRPr="00A42B3C">
              <w:rPr>
                <w:rFonts w:ascii="Calibri" w:hAnsi="Calibri" w:cs="Calibri"/>
                <w:sz w:val="14"/>
                <w:szCs w:val="20"/>
                <w:lang w:val="en-GB"/>
              </w:rPr>
              <w:t xml:space="preserve">It has become increasingly difficult to find credit institutions which have credit quality step 1. </w:t>
            </w:r>
            <w:r w:rsidR="008D7B95" w:rsidRPr="00A42B3C">
              <w:rPr>
                <w:rFonts w:ascii="Calibri" w:hAnsi="Calibri" w:cs="Calibri"/>
                <w:sz w:val="14"/>
                <w:szCs w:val="20"/>
                <w:lang w:val="en-GB"/>
              </w:rPr>
              <w:t xml:space="preserve">There </w:t>
            </w:r>
            <w:r w:rsidR="00DD7D35" w:rsidRPr="00A42B3C">
              <w:rPr>
                <w:rFonts w:ascii="Calibri" w:hAnsi="Calibri" w:cs="Calibri"/>
                <w:sz w:val="14"/>
                <w:szCs w:val="20"/>
                <w:lang w:val="en-GB"/>
              </w:rPr>
              <w:t>is</w:t>
            </w:r>
            <w:r w:rsidRPr="00A42B3C">
              <w:rPr>
                <w:rFonts w:ascii="Calibri" w:hAnsi="Calibri" w:cs="Calibri"/>
                <w:sz w:val="14"/>
                <w:szCs w:val="20"/>
                <w:lang w:val="en-GB"/>
              </w:rPr>
              <w:t xml:space="preserve"> already relatively </w:t>
            </w:r>
            <w:r w:rsidR="008D7B95" w:rsidRPr="00A42B3C">
              <w:rPr>
                <w:rFonts w:ascii="Calibri" w:hAnsi="Calibri" w:cs="Calibri"/>
                <w:sz w:val="14"/>
                <w:szCs w:val="20"/>
                <w:lang w:val="en-GB"/>
              </w:rPr>
              <w:t>strict limitation</w:t>
            </w:r>
            <w:r w:rsidRPr="00A42B3C">
              <w:rPr>
                <w:rFonts w:ascii="Calibri" w:hAnsi="Calibri" w:cs="Calibri"/>
                <w:sz w:val="14"/>
                <w:szCs w:val="20"/>
                <w:lang w:val="en-GB"/>
              </w:rPr>
              <w:t xml:space="preserve"> for exposures towards credit institutions with lower credit quality, further limiting the </w:t>
            </w:r>
            <w:r w:rsidR="008D7B95" w:rsidRPr="00A42B3C">
              <w:rPr>
                <w:rFonts w:ascii="Calibri" w:hAnsi="Calibri" w:cs="Calibri"/>
                <w:sz w:val="14"/>
                <w:szCs w:val="20"/>
                <w:lang w:val="en-GB"/>
              </w:rPr>
              <w:t>possibility</w:t>
            </w:r>
            <w:r w:rsidRPr="00A42B3C">
              <w:rPr>
                <w:rFonts w:ascii="Calibri" w:hAnsi="Calibri" w:cs="Calibri"/>
                <w:sz w:val="14"/>
                <w:szCs w:val="20"/>
                <w:lang w:val="en-GB"/>
              </w:rPr>
              <w:t xml:space="preserve"> to get approval for such exposures would cause problems for the covered bond issuers.</w:t>
            </w:r>
          </w:p>
        </w:tc>
        <w:tc>
          <w:tcPr>
            <w:tcW w:w="1985"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jc w:val="both"/>
              <w:rPr>
                <w:rFonts w:ascii="Calibri" w:hAnsi="Calibri" w:cs="Calibri"/>
                <w:sz w:val="14"/>
                <w:szCs w:val="20"/>
                <w:lang w:val="en-GB"/>
              </w:rPr>
            </w:pPr>
            <w:r w:rsidRPr="00A42B3C">
              <w:rPr>
                <w:rFonts w:ascii="Calibri" w:hAnsi="Calibri" w:cs="Calibri"/>
                <w:sz w:val="14"/>
                <w:szCs w:val="20"/>
                <w:lang w:val="en-GB"/>
              </w:rPr>
              <w:t xml:space="preserve">There is a risk for significant concentration problems, </w:t>
            </w:r>
            <w:r w:rsidR="008D7B95" w:rsidRPr="00A42B3C">
              <w:rPr>
                <w:rFonts w:ascii="Calibri" w:hAnsi="Calibri" w:cs="Calibri"/>
                <w:sz w:val="14"/>
                <w:szCs w:val="20"/>
                <w:lang w:val="en-GB"/>
              </w:rPr>
              <w:t>particularly</w:t>
            </w:r>
            <w:r w:rsidRPr="00A42B3C">
              <w:rPr>
                <w:rFonts w:ascii="Calibri" w:hAnsi="Calibri" w:cs="Calibri"/>
                <w:sz w:val="14"/>
                <w:szCs w:val="20"/>
                <w:lang w:val="en-GB"/>
              </w:rPr>
              <w:t xml:space="preserve"> in smaller currency areas, if exposures were to be confines to credit institutions meeting credit quality step 1.</w:t>
            </w:r>
          </w:p>
          <w:p w:rsidR="00250941" w:rsidRPr="00A42B3C" w:rsidRDefault="00250941" w:rsidP="000B7E74">
            <w:pPr>
              <w:jc w:val="both"/>
              <w:rPr>
                <w:rFonts w:asciiTheme="majorHAnsi" w:eastAsia="Times New Roman" w:hAnsiTheme="majorHAnsi" w:cstheme="majorHAnsi"/>
                <w:sz w:val="14"/>
                <w:szCs w:val="14"/>
                <w:lang w:val="en-GB"/>
              </w:rPr>
            </w:pPr>
          </w:p>
        </w:tc>
        <w:tc>
          <w:tcPr>
            <w:tcW w:w="992" w:type="dxa"/>
            <w:tcBorders>
              <w:top w:val="single" w:sz="4" w:space="0" w:color="auto"/>
              <w:left w:val="single" w:sz="4" w:space="0" w:color="auto"/>
              <w:bottom w:val="single" w:sz="4" w:space="0" w:color="auto"/>
              <w:right w:val="single" w:sz="4" w:space="0" w:color="auto"/>
            </w:tcBorders>
            <w:vAlign w:val="center"/>
          </w:tcPr>
          <w:p w:rsidR="00250941" w:rsidRPr="00A42B3C" w:rsidRDefault="00B90D7E" w:rsidP="000B7E74">
            <w:pPr>
              <w:spacing w:line="256" w:lineRule="auto"/>
              <w:jc w:val="both"/>
              <w:rPr>
                <w:rFonts w:asciiTheme="majorHAnsi" w:eastAsia="Times New Roman" w:hAnsiTheme="majorHAnsi" w:cstheme="majorHAnsi"/>
                <w:color w:val="000000"/>
                <w:sz w:val="14"/>
                <w:szCs w:val="14"/>
                <w:lang w:val="en-GB" w:eastAsia="en-GB"/>
              </w:rPr>
            </w:pPr>
            <w:r w:rsidRPr="00A42B3C">
              <w:rPr>
                <w:rFonts w:asciiTheme="majorHAnsi" w:eastAsia="Times New Roman" w:hAnsiTheme="majorHAnsi" w:cstheme="majorHAnsi"/>
                <w:color w:val="000000"/>
                <w:sz w:val="14"/>
                <w:szCs w:val="14"/>
                <w:lang w:val="en-GB" w:eastAsia="en-GB"/>
              </w:rPr>
              <w:t>High</w:t>
            </w:r>
          </w:p>
        </w:tc>
        <w:tc>
          <w:tcPr>
            <w:tcW w:w="3402"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462474">
            <w:pPr>
              <w:jc w:val="both"/>
              <w:rPr>
                <w:rFonts w:ascii="Calibri" w:hAnsi="Calibri" w:cs="Calibri"/>
                <w:sz w:val="14"/>
                <w:szCs w:val="14"/>
                <w:lang w:val="en-GB"/>
              </w:rPr>
            </w:pPr>
            <w:r w:rsidRPr="00A42B3C">
              <w:rPr>
                <w:rFonts w:ascii="Calibri" w:hAnsi="Calibri" w:cs="Calibri"/>
                <w:strike/>
                <w:sz w:val="14"/>
                <w:szCs w:val="14"/>
                <w:lang w:val="en-GB"/>
              </w:rPr>
              <w:t>If significant concentration problems in some Member States can be documented due to the application of the credit quality step 1 requirement referred to in point (c) of the first subparagraph</w:t>
            </w:r>
            <w:r w:rsidRPr="00A42B3C">
              <w:rPr>
                <w:rFonts w:ascii="Calibri" w:hAnsi="Calibri" w:cs="Calibri"/>
                <w:sz w:val="14"/>
                <w:szCs w:val="14"/>
                <w:lang w:val="en-GB"/>
              </w:rPr>
              <w:t xml:space="preserve">, EBA may, for all credit institutions concerned </w:t>
            </w:r>
            <w:r w:rsidRPr="00A42B3C">
              <w:rPr>
                <w:rFonts w:ascii="Calibri" w:hAnsi="Calibri" w:cs="Calibri"/>
                <w:strike/>
                <w:sz w:val="14"/>
                <w:szCs w:val="14"/>
                <w:lang w:val="en-GB"/>
              </w:rPr>
              <w:t>and for a period of at most three years</w:t>
            </w:r>
            <w:r w:rsidRPr="00A42B3C">
              <w:rPr>
                <w:rFonts w:ascii="Calibri" w:hAnsi="Calibri" w:cs="Calibri"/>
                <w:sz w:val="14"/>
                <w:szCs w:val="14"/>
                <w:lang w:val="en-GB"/>
              </w:rPr>
              <w:t>, waive the application of</w:t>
            </w:r>
            <w:r w:rsidRPr="00A42B3C">
              <w:rPr>
                <w:rFonts w:ascii="Calibri" w:hAnsi="Calibri" w:cs="Calibri"/>
                <w:b/>
                <w:bCs/>
                <w:sz w:val="14"/>
                <w:szCs w:val="14"/>
                <w:lang w:val="en-GB"/>
              </w:rPr>
              <w:t xml:space="preserve"> point c) of the first subparagraph</w:t>
            </w:r>
            <w:r w:rsidRPr="00A42B3C">
              <w:rPr>
                <w:rFonts w:ascii="Calibri" w:hAnsi="Calibri" w:cs="Calibri"/>
                <w:sz w:val="14"/>
                <w:szCs w:val="14"/>
                <w:lang w:val="en-GB"/>
              </w:rPr>
              <w:t xml:space="preserve"> </w:t>
            </w:r>
            <w:r w:rsidRPr="00A42B3C">
              <w:rPr>
                <w:rFonts w:ascii="Calibri" w:hAnsi="Calibri" w:cs="Calibri"/>
                <w:strike/>
                <w:sz w:val="14"/>
                <w:szCs w:val="14"/>
                <w:lang w:val="en-GB"/>
              </w:rPr>
              <w:t>this subparagrap</w:t>
            </w:r>
            <w:r w:rsidRPr="00A42B3C">
              <w:rPr>
                <w:rFonts w:ascii="Calibri" w:hAnsi="Calibri" w:cs="Calibri"/>
                <w:sz w:val="14"/>
                <w:szCs w:val="14"/>
                <w:lang w:val="en-GB"/>
              </w:rPr>
              <w:t xml:space="preserve">h and allow credit quality step 2 exposures for up to 10% of the total exposure of the nominal amount of outstanding covered bonds of the issuing institution. </w:t>
            </w:r>
            <w:r w:rsidRPr="00A42B3C">
              <w:rPr>
                <w:rFonts w:ascii="Calibri" w:hAnsi="Calibri" w:cs="Calibri"/>
                <w:strike/>
                <w:sz w:val="14"/>
                <w:szCs w:val="14"/>
                <w:lang w:val="en-GB"/>
              </w:rPr>
              <w:t>EBA may repeal this decision any time, provided it grants credit institutions an adequate transition period.</w:t>
            </w:r>
          </w:p>
        </w:tc>
        <w:tc>
          <w:tcPr>
            <w:tcW w:w="709" w:type="dxa"/>
            <w:tcBorders>
              <w:top w:val="single" w:sz="4" w:space="0" w:color="auto"/>
              <w:left w:val="single" w:sz="4" w:space="0" w:color="auto"/>
              <w:bottom w:val="single" w:sz="4" w:space="0" w:color="auto"/>
              <w:right w:val="single" w:sz="4" w:space="0" w:color="auto"/>
            </w:tcBorders>
          </w:tcPr>
          <w:p w:rsidR="00250941" w:rsidRPr="00A42B3C" w:rsidRDefault="00250941" w:rsidP="000B7E74">
            <w:pPr>
              <w:jc w:val="both"/>
              <w:rPr>
                <w:rFonts w:asciiTheme="majorHAnsi" w:hAnsiTheme="majorHAnsi" w:cstheme="majorHAnsi"/>
                <w:sz w:val="14"/>
                <w:szCs w:val="14"/>
                <w:lang w:val="en-GB"/>
              </w:rPr>
            </w:pPr>
            <w:r w:rsidRPr="00A42B3C">
              <w:rPr>
                <w:rFonts w:asciiTheme="majorHAnsi" w:hAnsiTheme="majorHAnsi" w:cstheme="majorHAnsi"/>
                <w:sz w:val="14"/>
                <w:szCs w:val="14"/>
                <w:lang w:val="en-GB"/>
              </w:rPr>
              <w:t>EU</w:t>
            </w:r>
          </w:p>
        </w:tc>
      </w:tr>
    </w:tbl>
    <w:p w:rsidR="002730F6" w:rsidRPr="00A42B3C" w:rsidRDefault="002730F6" w:rsidP="00013E62">
      <w:pPr>
        <w:rPr>
          <w:rFonts w:asciiTheme="majorHAnsi" w:hAnsiTheme="majorHAnsi" w:cstheme="majorHAnsi"/>
          <w:i/>
          <w:sz w:val="8"/>
          <w:szCs w:val="8"/>
          <w:lang w:val="en-GB"/>
        </w:rPr>
      </w:pPr>
    </w:p>
    <w:p w:rsidR="00AE0002" w:rsidRPr="00A42B3C" w:rsidRDefault="00AE0002" w:rsidP="00BD0D33">
      <w:pPr>
        <w:pStyle w:val="Heading1"/>
      </w:pPr>
      <w:bookmarkStart w:id="23" w:name="_United_Kingdom"/>
      <w:bookmarkEnd w:id="23"/>
      <w:r w:rsidRPr="00A42B3C">
        <w:t>United Kingdom</w:t>
      </w:r>
      <w:r w:rsidR="005F0149" w:rsidRPr="00A42B3C">
        <w:t> </w:t>
      </w:r>
    </w:p>
    <w:p w:rsidR="00AE0002" w:rsidRPr="00A42B3C" w:rsidRDefault="00AE0002" w:rsidP="00AE0002">
      <w:pPr>
        <w:ind w:left="360"/>
        <w:rPr>
          <w:rFonts w:asciiTheme="majorHAnsi" w:hAnsiTheme="majorHAnsi" w:cstheme="majorHAnsi"/>
          <w:b/>
          <w:color w:val="DE8400"/>
          <w:lang w:val="en-GB"/>
        </w:rPr>
      </w:pPr>
    </w:p>
    <w:tbl>
      <w:tblPr>
        <w:tblW w:w="13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92"/>
        <w:gridCol w:w="2268"/>
        <w:gridCol w:w="2551"/>
        <w:gridCol w:w="2410"/>
        <w:gridCol w:w="1276"/>
        <w:gridCol w:w="1417"/>
        <w:gridCol w:w="1417"/>
      </w:tblGrid>
      <w:tr w:rsidR="00250941" w:rsidRPr="00A42B3C" w:rsidTr="00250941">
        <w:trPr>
          <w:trHeight w:val="475"/>
        </w:trPr>
        <w:tc>
          <w:tcPr>
            <w:tcW w:w="988"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250941" w:rsidRPr="00A42B3C" w:rsidRDefault="00250941" w:rsidP="00BD7024">
            <w:pPr>
              <w:jc w:val="center"/>
              <w:rPr>
                <w:rFonts w:asciiTheme="majorHAnsi" w:eastAsia="Times New Roman" w:hAnsiTheme="majorHAnsi" w:cstheme="majorHAnsi"/>
                <w:b/>
                <w:color w:val="FFFFFF" w:themeColor="background1"/>
                <w:sz w:val="16"/>
                <w:szCs w:val="18"/>
                <w:lang w:val="en-GB" w:eastAsia="en-GB"/>
              </w:rPr>
            </w:pPr>
            <w:bookmarkStart w:id="24" w:name="_Hlk513114628"/>
            <w:r w:rsidRPr="00A42B3C">
              <w:rPr>
                <w:rFonts w:asciiTheme="majorHAnsi" w:eastAsia="Times New Roman" w:hAnsiTheme="majorHAnsi" w:cstheme="majorHAnsi"/>
                <w:b/>
                <w:color w:val="FFFFFF" w:themeColor="background1"/>
                <w:sz w:val="16"/>
                <w:szCs w:val="18"/>
                <w:lang w:val="en-GB" w:eastAsia="en-GB"/>
              </w:rPr>
              <w:t>Ranking of priority</w:t>
            </w:r>
          </w:p>
        </w:tc>
        <w:tc>
          <w:tcPr>
            <w:tcW w:w="992"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250941" w:rsidRPr="00A42B3C" w:rsidRDefault="00250941" w:rsidP="00BD7024">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Location</w:t>
            </w:r>
          </w:p>
        </w:tc>
        <w:tc>
          <w:tcPr>
            <w:tcW w:w="2268"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250941" w:rsidRPr="00A42B3C" w:rsidRDefault="00250941" w:rsidP="00BD7024">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Precise passage concerned</w:t>
            </w:r>
          </w:p>
        </w:tc>
        <w:tc>
          <w:tcPr>
            <w:tcW w:w="2551"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250941" w:rsidRPr="00A42B3C" w:rsidRDefault="00250941" w:rsidP="00BD7024">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Description of the Issue</w:t>
            </w:r>
          </w:p>
        </w:tc>
        <w:tc>
          <w:tcPr>
            <w:tcW w:w="2410"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250941" w:rsidRPr="00A42B3C" w:rsidRDefault="00250941" w:rsidP="00BD7024">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Justification for potential amendment</w:t>
            </w:r>
          </w:p>
        </w:tc>
        <w:tc>
          <w:tcPr>
            <w:tcW w:w="1276"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250941" w:rsidRPr="00A42B3C" w:rsidRDefault="00250941" w:rsidP="00BD7024">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Level of seriousness</w:t>
            </w:r>
          </w:p>
        </w:tc>
        <w:tc>
          <w:tcPr>
            <w:tcW w:w="1417"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250941" w:rsidRPr="00A42B3C" w:rsidRDefault="00250941" w:rsidP="00BD7024">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Proposal for a wording update</w:t>
            </w:r>
          </w:p>
        </w:tc>
        <w:tc>
          <w:tcPr>
            <w:tcW w:w="1417" w:type="dxa"/>
            <w:tcBorders>
              <w:top w:val="single" w:sz="4" w:space="0" w:color="auto"/>
              <w:left w:val="single" w:sz="4" w:space="0" w:color="auto"/>
              <w:bottom w:val="single" w:sz="4" w:space="0" w:color="auto"/>
              <w:right w:val="single" w:sz="4" w:space="0" w:color="auto"/>
            </w:tcBorders>
            <w:shd w:val="clear" w:color="auto" w:fill="DE821B"/>
            <w:vAlign w:val="center"/>
          </w:tcPr>
          <w:p w:rsidR="00250941" w:rsidRPr="00A42B3C" w:rsidRDefault="00250941" w:rsidP="00250941">
            <w:pPr>
              <w:jc w:val="center"/>
              <w:rPr>
                <w:rFonts w:asciiTheme="majorHAnsi" w:eastAsia="Times New Roman" w:hAnsiTheme="majorHAnsi" w:cstheme="majorHAnsi"/>
                <w:b/>
                <w:color w:val="FFFFFF" w:themeColor="background1"/>
                <w:sz w:val="16"/>
                <w:szCs w:val="18"/>
                <w:lang w:val="en-GB" w:eastAsia="en-GB"/>
              </w:rPr>
            </w:pPr>
            <w:r w:rsidRPr="00A42B3C">
              <w:rPr>
                <w:rFonts w:asciiTheme="majorHAnsi" w:eastAsia="Times New Roman" w:hAnsiTheme="majorHAnsi" w:cstheme="majorHAnsi"/>
                <w:b/>
                <w:color w:val="FFFFFF" w:themeColor="background1"/>
                <w:sz w:val="16"/>
                <w:szCs w:val="18"/>
                <w:lang w:val="en-GB" w:eastAsia="en-GB"/>
              </w:rPr>
              <w:t>Scope</w:t>
            </w:r>
          </w:p>
        </w:tc>
      </w:tr>
      <w:tr w:rsidR="00250941" w:rsidRPr="00A42B3C" w:rsidTr="00250941">
        <w:trPr>
          <w:trHeight w:val="475"/>
        </w:trPr>
        <w:tc>
          <w:tcPr>
            <w:tcW w:w="988"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spacing w:line="256" w:lineRule="auto"/>
              <w:jc w:val="both"/>
              <w:rPr>
                <w:rFonts w:ascii="Calibri" w:eastAsia="Times New Roman" w:hAnsi="Calibri" w:cs="Calibri"/>
                <w:sz w:val="14"/>
                <w:szCs w:val="14"/>
                <w:lang w:val="en-GB" w:eastAsia="en-GB"/>
              </w:rPr>
            </w:pPr>
            <w:r w:rsidRPr="00A42B3C">
              <w:rPr>
                <w:rFonts w:ascii="Calibri" w:eastAsia="Times New Roman" w:hAnsi="Calibri" w:cs="Calibri"/>
                <w:sz w:val="14"/>
                <w:szCs w:val="14"/>
                <w:lang w:val="en-GB" w:eastAsia="en-GB"/>
              </w:rPr>
              <w:t>1</w:t>
            </w:r>
          </w:p>
        </w:tc>
        <w:tc>
          <w:tcPr>
            <w:tcW w:w="992"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jc w:val="both"/>
              <w:rPr>
                <w:rFonts w:ascii="Calibri" w:hAnsi="Calibri"/>
                <w:color w:val="000000"/>
                <w:sz w:val="14"/>
                <w:szCs w:val="20"/>
                <w:lang w:val="en-GB"/>
              </w:rPr>
            </w:pPr>
            <w:r w:rsidRPr="00A42B3C">
              <w:rPr>
                <w:rFonts w:ascii="Calibri" w:hAnsi="Calibri"/>
                <w:color w:val="000000"/>
                <w:sz w:val="14"/>
                <w:szCs w:val="20"/>
                <w:lang w:val="en-GB"/>
              </w:rPr>
              <w:t>Article 15</w:t>
            </w:r>
          </w:p>
        </w:tc>
        <w:tc>
          <w:tcPr>
            <w:tcW w:w="2268"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jc w:val="both"/>
              <w:rPr>
                <w:rFonts w:ascii="Calibri" w:hAnsi="Calibri"/>
                <w:color w:val="000000"/>
                <w:sz w:val="14"/>
                <w:szCs w:val="20"/>
                <w:lang w:val="en-GB"/>
              </w:rPr>
            </w:pPr>
            <w:r w:rsidRPr="00A42B3C">
              <w:rPr>
                <w:rFonts w:ascii="Calibri" w:hAnsi="Calibri"/>
                <w:color w:val="000000"/>
                <w:sz w:val="14"/>
                <w:szCs w:val="20"/>
                <w:lang w:val="en-GB"/>
              </w:rPr>
              <w:t>Paragraph 1</w:t>
            </w:r>
          </w:p>
        </w:tc>
        <w:tc>
          <w:tcPr>
            <w:tcW w:w="2551"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jc w:val="both"/>
              <w:rPr>
                <w:rFonts w:ascii="Calibri" w:hAnsi="Calibri"/>
                <w:color w:val="000000"/>
                <w:sz w:val="14"/>
                <w:szCs w:val="20"/>
                <w:lang w:val="en-GB"/>
              </w:rPr>
            </w:pPr>
            <w:r w:rsidRPr="00A42B3C">
              <w:rPr>
                <w:rFonts w:ascii="Calibri" w:hAnsi="Calibri"/>
                <w:color w:val="000000"/>
                <w:sz w:val="14"/>
                <w:szCs w:val="20"/>
                <w:lang w:val="en-GB"/>
              </w:rPr>
              <w:t>Deletion of derivatives from calculation of asset coverage (</w:t>
            </w:r>
            <w:r w:rsidR="00DD7D35" w:rsidRPr="00A42B3C">
              <w:rPr>
                <w:rFonts w:ascii="Calibri" w:hAnsi="Calibri"/>
                <w:color w:val="000000"/>
                <w:sz w:val="14"/>
                <w:szCs w:val="20"/>
                <w:lang w:val="en-GB"/>
              </w:rPr>
              <w:t>amendment</w:t>
            </w:r>
            <w:r w:rsidRPr="00A42B3C">
              <w:rPr>
                <w:rFonts w:ascii="Calibri" w:hAnsi="Calibri"/>
                <w:color w:val="000000"/>
                <w:sz w:val="14"/>
                <w:szCs w:val="20"/>
                <w:lang w:val="en-GB"/>
              </w:rPr>
              <w:t xml:space="preserve"> 45)</w:t>
            </w:r>
          </w:p>
        </w:tc>
        <w:tc>
          <w:tcPr>
            <w:tcW w:w="2410"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jc w:val="both"/>
              <w:rPr>
                <w:rFonts w:ascii="Calibri" w:hAnsi="Calibri"/>
                <w:color w:val="000000"/>
                <w:sz w:val="14"/>
                <w:szCs w:val="20"/>
                <w:lang w:val="en-GB"/>
              </w:rPr>
            </w:pPr>
            <w:r w:rsidRPr="00A42B3C">
              <w:rPr>
                <w:rFonts w:ascii="Calibri" w:hAnsi="Calibri"/>
                <w:color w:val="000000"/>
                <w:sz w:val="14"/>
                <w:szCs w:val="20"/>
                <w:lang w:val="en-GB"/>
              </w:rPr>
              <w:t>Revert to original text so as to clarify that the hedged asset positions are recognised in coverage tests</w:t>
            </w:r>
          </w:p>
        </w:tc>
        <w:tc>
          <w:tcPr>
            <w:tcW w:w="1276"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jc w:val="both"/>
              <w:rPr>
                <w:rFonts w:ascii="Calibri" w:hAnsi="Calibri"/>
                <w:color w:val="000000"/>
                <w:sz w:val="14"/>
                <w:szCs w:val="20"/>
                <w:lang w:val="en-GB"/>
              </w:rPr>
            </w:pPr>
            <w:r w:rsidRPr="00A42B3C">
              <w:rPr>
                <w:rFonts w:ascii="Calibri" w:hAnsi="Calibri"/>
                <w:color w:val="000000"/>
                <w:sz w:val="14"/>
                <w:szCs w:val="20"/>
                <w:lang w:val="en-GB"/>
              </w:rPr>
              <w:t>High</w:t>
            </w:r>
          </w:p>
        </w:tc>
        <w:tc>
          <w:tcPr>
            <w:tcW w:w="1417"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jc w:val="both"/>
              <w:rPr>
                <w:rFonts w:ascii="Calibri" w:hAnsi="Calibri"/>
                <w:color w:val="000000"/>
                <w:sz w:val="14"/>
                <w:szCs w:val="20"/>
                <w:lang w:val="en-GB"/>
              </w:rPr>
            </w:pPr>
            <w:r w:rsidRPr="00A42B3C">
              <w:rPr>
                <w:rFonts w:ascii="Calibri" w:hAnsi="Calibri"/>
                <w:color w:val="000000"/>
                <w:sz w:val="14"/>
                <w:szCs w:val="20"/>
                <w:lang w:val="en-GB"/>
              </w:rPr>
              <w:t>Revert to original text so as to clarify that the hedged asset positions are recognised in coverage tests</w:t>
            </w:r>
          </w:p>
        </w:tc>
        <w:tc>
          <w:tcPr>
            <w:tcW w:w="1417"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jc w:val="both"/>
              <w:rPr>
                <w:rFonts w:ascii="Calibri" w:hAnsi="Calibri"/>
                <w:color w:val="000000"/>
                <w:sz w:val="14"/>
                <w:szCs w:val="20"/>
                <w:lang w:val="en-GB"/>
              </w:rPr>
            </w:pPr>
            <w:r w:rsidRPr="00A42B3C">
              <w:rPr>
                <w:rFonts w:ascii="Calibri" w:hAnsi="Calibri"/>
                <w:color w:val="000000"/>
                <w:sz w:val="14"/>
                <w:szCs w:val="20"/>
                <w:lang w:val="en-GB"/>
              </w:rPr>
              <w:t>National</w:t>
            </w:r>
          </w:p>
        </w:tc>
      </w:tr>
      <w:tr w:rsidR="00250941" w:rsidRPr="00A42B3C" w:rsidTr="00250941">
        <w:trPr>
          <w:trHeight w:val="475"/>
        </w:trPr>
        <w:tc>
          <w:tcPr>
            <w:tcW w:w="988"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spacing w:line="256" w:lineRule="auto"/>
              <w:jc w:val="both"/>
              <w:rPr>
                <w:rFonts w:ascii="Calibri" w:eastAsia="Times New Roman" w:hAnsi="Calibri" w:cs="Calibri"/>
                <w:sz w:val="14"/>
                <w:szCs w:val="14"/>
                <w:lang w:val="en-GB" w:eastAsia="en-GB"/>
              </w:rPr>
            </w:pPr>
            <w:r w:rsidRPr="00A42B3C">
              <w:rPr>
                <w:rFonts w:ascii="Calibri" w:eastAsia="Times New Roman" w:hAnsi="Calibri" w:cs="Calibri"/>
                <w:sz w:val="14"/>
                <w:szCs w:val="14"/>
                <w:lang w:val="en-GB" w:eastAsia="en-GB"/>
              </w:rPr>
              <w:t>2</w:t>
            </w:r>
          </w:p>
        </w:tc>
        <w:tc>
          <w:tcPr>
            <w:tcW w:w="992"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jc w:val="both"/>
              <w:rPr>
                <w:rFonts w:ascii="Calibri" w:hAnsi="Calibri"/>
                <w:color w:val="000000"/>
                <w:sz w:val="14"/>
                <w:szCs w:val="20"/>
                <w:lang w:val="en-GB"/>
              </w:rPr>
            </w:pPr>
            <w:r w:rsidRPr="00A42B3C">
              <w:rPr>
                <w:rFonts w:ascii="Calibri" w:hAnsi="Calibri"/>
                <w:color w:val="000000"/>
                <w:sz w:val="14"/>
                <w:szCs w:val="20"/>
                <w:lang w:val="en-GB"/>
              </w:rPr>
              <w:t>Regulation Article 1 para 1 1a(iii)</w:t>
            </w:r>
          </w:p>
        </w:tc>
        <w:tc>
          <w:tcPr>
            <w:tcW w:w="2268"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jc w:val="both"/>
              <w:rPr>
                <w:rFonts w:ascii="Calibri" w:hAnsi="Calibri"/>
                <w:color w:val="000000"/>
                <w:sz w:val="14"/>
                <w:szCs w:val="20"/>
                <w:lang w:val="en-GB"/>
              </w:rPr>
            </w:pPr>
            <w:r w:rsidRPr="00A42B3C">
              <w:rPr>
                <w:rFonts w:ascii="Calibri" w:hAnsi="Calibri"/>
                <w:color w:val="000000"/>
                <w:sz w:val="14"/>
                <w:szCs w:val="20"/>
                <w:lang w:val="en-GB"/>
              </w:rPr>
              <w:t>Deletion of existing para</w:t>
            </w:r>
          </w:p>
        </w:tc>
        <w:tc>
          <w:tcPr>
            <w:tcW w:w="2551" w:type="dxa"/>
            <w:tcBorders>
              <w:top w:val="single" w:sz="4" w:space="0" w:color="auto"/>
              <w:left w:val="single" w:sz="4" w:space="0" w:color="auto"/>
              <w:bottom w:val="single" w:sz="4" w:space="0" w:color="auto"/>
              <w:right w:val="single" w:sz="4" w:space="0" w:color="auto"/>
            </w:tcBorders>
            <w:vAlign w:val="center"/>
          </w:tcPr>
          <w:p w:rsidR="00250941" w:rsidRPr="00A42B3C" w:rsidRDefault="00DD7D35" w:rsidP="000B7E74">
            <w:pPr>
              <w:jc w:val="both"/>
              <w:rPr>
                <w:rFonts w:ascii="Calibri" w:hAnsi="Calibri"/>
                <w:color w:val="000000"/>
                <w:sz w:val="14"/>
                <w:szCs w:val="20"/>
                <w:lang w:val="en-GB"/>
              </w:rPr>
            </w:pPr>
            <w:r w:rsidRPr="00A42B3C">
              <w:rPr>
                <w:rFonts w:ascii="Calibri" w:hAnsi="Calibri"/>
                <w:color w:val="000000"/>
                <w:sz w:val="14"/>
                <w:szCs w:val="20"/>
                <w:lang w:val="en-GB"/>
              </w:rPr>
              <w:t>3-year</w:t>
            </w:r>
            <w:r w:rsidR="00250941" w:rsidRPr="00A42B3C">
              <w:rPr>
                <w:rFonts w:ascii="Calibri" w:hAnsi="Calibri"/>
                <w:color w:val="000000"/>
                <w:sz w:val="14"/>
                <w:szCs w:val="20"/>
                <w:lang w:val="en-GB"/>
              </w:rPr>
              <w:t xml:space="preserve"> limit on Step 2 credits being eligible proposed (amendment 6)</w:t>
            </w:r>
          </w:p>
        </w:tc>
        <w:tc>
          <w:tcPr>
            <w:tcW w:w="2410"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jc w:val="both"/>
              <w:rPr>
                <w:rFonts w:ascii="Calibri" w:hAnsi="Calibri"/>
                <w:color w:val="000000"/>
                <w:sz w:val="14"/>
                <w:szCs w:val="20"/>
                <w:lang w:val="en-GB"/>
              </w:rPr>
            </w:pPr>
            <w:r w:rsidRPr="00A42B3C">
              <w:rPr>
                <w:rFonts w:ascii="Calibri" w:hAnsi="Calibri"/>
                <w:color w:val="000000"/>
                <w:sz w:val="14"/>
                <w:szCs w:val="20"/>
                <w:lang w:val="en-GB"/>
              </w:rPr>
              <w:t>If credit ratings continue to deteriorate this may become impossible to meet</w:t>
            </w:r>
          </w:p>
        </w:tc>
        <w:tc>
          <w:tcPr>
            <w:tcW w:w="1276"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jc w:val="both"/>
              <w:rPr>
                <w:rFonts w:ascii="Calibri" w:hAnsi="Calibri"/>
                <w:color w:val="000000"/>
                <w:sz w:val="14"/>
                <w:szCs w:val="20"/>
                <w:lang w:val="en-GB"/>
              </w:rPr>
            </w:pPr>
            <w:r w:rsidRPr="00A42B3C">
              <w:rPr>
                <w:rFonts w:ascii="Calibri" w:hAnsi="Calibri"/>
                <w:color w:val="000000"/>
                <w:sz w:val="14"/>
                <w:szCs w:val="20"/>
                <w:lang w:val="en-GB"/>
              </w:rPr>
              <w:t>Moderate</w:t>
            </w:r>
          </w:p>
        </w:tc>
        <w:tc>
          <w:tcPr>
            <w:tcW w:w="1417"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jc w:val="both"/>
              <w:rPr>
                <w:rFonts w:ascii="Calibri" w:hAnsi="Calibri"/>
                <w:color w:val="000000"/>
                <w:sz w:val="14"/>
                <w:szCs w:val="20"/>
                <w:lang w:val="en-GB"/>
              </w:rPr>
            </w:pPr>
            <w:r w:rsidRPr="00A42B3C">
              <w:rPr>
                <w:rFonts w:ascii="Calibri" w:hAnsi="Calibri"/>
                <w:color w:val="000000"/>
                <w:sz w:val="14"/>
                <w:szCs w:val="20"/>
                <w:lang w:val="en-GB"/>
              </w:rPr>
              <w:t xml:space="preserve">Revert to </w:t>
            </w:r>
            <w:r w:rsidR="00DD7D35" w:rsidRPr="00A42B3C">
              <w:rPr>
                <w:rFonts w:ascii="Calibri" w:hAnsi="Calibri"/>
                <w:color w:val="000000"/>
                <w:sz w:val="14"/>
                <w:szCs w:val="20"/>
                <w:lang w:val="en-GB"/>
              </w:rPr>
              <w:t>original</w:t>
            </w:r>
            <w:r w:rsidRPr="00A42B3C">
              <w:rPr>
                <w:rFonts w:ascii="Calibri" w:hAnsi="Calibri"/>
                <w:color w:val="000000"/>
                <w:sz w:val="14"/>
                <w:szCs w:val="20"/>
                <w:lang w:val="en-GB"/>
              </w:rPr>
              <w:t xml:space="preserve"> proposal</w:t>
            </w:r>
          </w:p>
        </w:tc>
        <w:tc>
          <w:tcPr>
            <w:tcW w:w="1417"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jc w:val="both"/>
              <w:rPr>
                <w:rFonts w:ascii="Calibri" w:hAnsi="Calibri"/>
                <w:color w:val="000000"/>
                <w:sz w:val="14"/>
                <w:szCs w:val="20"/>
                <w:lang w:val="en-GB"/>
              </w:rPr>
            </w:pPr>
            <w:r w:rsidRPr="00A42B3C">
              <w:rPr>
                <w:rFonts w:ascii="Calibri" w:hAnsi="Calibri"/>
                <w:color w:val="000000"/>
                <w:sz w:val="14"/>
                <w:szCs w:val="20"/>
                <w:lang w:val="en-GB"/>
              </w:rPr>
              <w:t>EU</w:t>
            </w:r>
          </w:p>
        </w:tc>
      </w:tr>
      <w:tr w:rsidR="00250941" w:rsidRPr="00A42B3C" w:rsidTr="00250941">
        <w:trPr>
          <w:trHeight w:val="475"/>
        </w:trPr>
        <w:tc>
          <w:tcPr>
            <w:tcW w:w="988"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spacing w:line="256" w:lineRule="auto"/>
              <w:jc w:val="both"/>
              <w:rPr>
                <w:rFonts w:ascii="Calibri" w:eastAsia="Times New Roman" w:hAnsi="Calibri" w:cs="Calibri"/>
                <w:sz w:val="14"/>
                <w:szCs w:val="14"/>
                <w:lang w:val="en-GB" w:eastAsia="en-GB"/>
              </w:rPr>
            </w:pPr>
            <w:r w:rsidRPr="00A42B3C">
              <w:rPr>
                <w:rFonts w:ascii="Calibri" w:eastAsia="Times New Roman" w:hAnsi="Calibri" w:cs="Calibri"/>
                <w:sz w:val="14"/>
                <w:szCs w:val="14"/>
                <w:lang w:val="en-GB" w:eastAsia="en-GB"/>
              </w:rPr>
              <w:t>3</w:t>
            </w:r>
          </w:p>
        </w:tc>
        <w:tc>
          <w:tcPr>
            <w:tcW w:w="992"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jc w:val="both"/>
              <w:rPr>
                <w:rFonts w:ascii="Calibri" w:hAnsi="Calibri"/>
                <w:color w:val="000000"/>
                <w:sz w:val="14"/>
                <w:szCs w:val="20"/>
                <w:lang w:val="en-GB"/>
              </w:rPr>
            </w:pPr>
            <w:r w:rsidRPr="00A42B3C">
              <w:rPr>
                <w:rFonts w:ascii="Calibri" w:hAnsi="Calibri"/>
                <w:color w:val="000000"/>
                <w:sz w:val="14"/>
                <w:szCs w:val="20"/>
                <w:lang w:val="en-GB"/>
              </w:rPr>
              <w:t>Regulation article 1 para 1 e</w:t>
            </w:r>
          </w:p>
        </w:tc>
        <w:tc>
          <w:tcPr>
            <w:tcW w:w="2268"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jc w:val="both"/>
              <w:rPr>
                <w:rFonts w:ascii="Calibri" w:hAnsi="Calibri"/>
                <w:color w:val="000000"/>
                <w:sz w:val="14"/>
                <w:szCs w:val="20"/>
                <w:lang w:val="en-GB"/>
              </w:rPr>
            </w:pPr>
            <w:bookmarkStart w:id="25" w:name="_Hlk523817829"/>
            <w:r w:rsidRPr="00A42B3C">
              <w:rPr>
                <w:rFonts w:ascii="Calibri" w:hAnsi="Calibri"/>
                <w:color w:val="000000"/>
                <w:sz w:val="14"/>
                <w:szCs w:val="20"/>
                <w:lang w:val="en-GB"/>
              </w:rPr>
              <w:t>introduction of sliding scale for extendable maturities</w:t>
            </w:r>
            <w:bookmarkEnd w:id="25"/>
          </w:p>
        </w:tc>
        <w:tc>
          <w:tcPr>
            <w:tcW w:w="2551"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jc w:val="both"/>
              <w:rPr>
                <w:rFonts w:ascii="Calibri" w:hAnsi="Calibri"/>
                <w:color w:val="000000"/>
                <w:sz w:val="14"/>
                <w:szCs w:val="20"/>
                <w:lang w:val="en-GB"/>
              </w:rPr>
            </w:pPr>
            <w:bookmarkStart w:id="26" w:name="_Hlk523817751"/>
            <w:r w:rsidRPr="00A42B3C">
              <w:rPr>
                <w:rFonts w:ascii="Calibri" w:hAnsi="Calibri"/>
                <w:color w:val="000000"/>
                <w:sz w:val="14"/>
                <w:szCs w:val="20"/>
                <w:lang w:val="en-GB"/>
              </w:rPr>
              <w:t xml:space="preserve">It goes beyond </w:t>
            </w:r>
            <w:r w:rsidR="00A42B3C">
              <w:rPr>
                <w:rFonts w:ascii="Calibri" w:hAnsi="Calibri"/>
                <w:color w:val="000000"/>
                <w:sz w:val="14"/>
                <w:szCs w:val="20"/>
                <w:lang w:val="en-GB"/>
              </w:rPr>
              <w:t>principle-</w:t>
            </w:r>
            <w:r w:rsidRPr="00A42B3C">
              <w:rPr>
                <w:rFonts w:ascii="Calibri" w:hAnsi="Calibri"/>
                <w:color w:val="000000"/>
                <w:sz w:val="14"/>
                <w:szCs w:val="20"/>
                <w:lang w:val="en-GB"/>
              </w:rPr>
              <w:t xml:space="preserve">based regulation and may limit valid </w:t>
            </w:r>
            <w:r w:rsidR="00DD7D35" w:rsidRPr="00A42B3C">
              <w:rPr>
                <w:rFonts w:ascii="Calibri" w:hAnsi="Calibri"/>
                <w:color w:val="000000"/>
                <w:sz w:val="14"/>
                <w:szCs w:val="20"/>
                <w:lang w:val="en-GB"/>
              </w:rPr>
              <w:t>market</w:t>
            </w:r>
            <w:r w:rsidRPr="00A42B3C">
              <w:rPr>
                <w:rFonts w:ascii="Calibri" w:hAnsi="Calibri"/>
                <w:color w:val="000000"/>
                <w:sz w:val="14"/>
                <w:szCs w:val="20"/>
                <w:lang w:val="en-GB"/>
              </w:rPr>
              <w:t xml:space="preserve"> development/ </w:t>
            </w:r>
            <w:r w:rsidR="00DD7D35" w:rsidRPr="00A42B3C">
              <w:rPr>
                <w:rFonts w:ascii="Calibri" w:hAnsi="Calibri"/>
                <w:color w:val="000000"/>
                <w:sz w:val="14"/>
                <w:szCs w:val="20"/>
                <w:lang w:val="en-GB"/>
              </w:rPr>
              <w:t>disrupt existing markets (</w:t>
            </w:r>
            <w:r w:rsidR="00A42B3C" w:rsidRPr="00A42B3C">
              <w:rPr>
                <w:rFonts w:ascii="Calibri" w:hAnsi="Calibri"/>
                <w:color w:val="000000"/>
                <w:sz w:val="14"/>
                <w:szCs w:val="20"/>
                <w:lang w:val="en-GB"/>
              </w:rPr>
              <w:t>non-UK</w:t>
            </w:r>
            <w:r w:rsidRPr="00A42B3C">
              <w:rPr>
                <w:rFonts w:ascii="Calibri" w:hAnsi="Calibri"/>
                <w:color w:val="000000"/>
                <w:sz w:val="14"/>
                <w:szCs w:val="20"/>
                <w:lang w:val="en-GB"/>
              </w:rPr>
              <w:t>)</w:t>
            </w:r>
            <w:bookmarkEnd w:id="26"/>
          </w:p>
        </w:tc>
        <w:tc>
          <w:tcPr>
            <w:tcW w:w="2410" w:type="dxa"/>
            <w:tcBorders>
              <w:top w:val="single" w:sz="4" w:space="0" w:color="auto"/>
              <w:left w:val="single" w:sz="4" w:space="0" w:color="auto"/>
              <w:bottom w:val="single" w:sz="4" w:space="0" w:color="auto"/>
              <w:right w:val="single" w:sz="4" w:space="0" w:color="auto"/>
            </w:tcBorders>
            <w:vAlign w:val="center"/>
          </w:tcPr>
          <w:p w:rsidR="00250941" w:rsidRPr="00A42B3C" w:rsidRDefault="00A42B3C" w:rsidP="000B7E74">
            <w:pPr>
              <w:jc w:val="both"/>
              <w:rPr>
                <w:rFonts w:ascii="Calibri" w:hAnsi="Calibri"/>
                <w:color w:val="000000"/>
                <w:sz w:val="14"/>
                <w:szCs w:val="20"/>
                <w:lang w:val="en-GB"/>
              </w:rPr>
            </w:pPr>
            <w:r w:rsidRPr="00A42B3C">
              <w:rPr>
                <w:rFonts w:ascii="Calibri" w:hAnsi="Calibri"/>
                <w:color w:val="000000"/>
                <w:sz w:val="14"/>
                <w:szCs w:val="20"/>
                <w:lang w:val="en-GB"/>
              </w:rPr>
              <w:t xml:space="preserve">t goes beyond </w:t>
            </w:r>
            <w:r>
              <w:rPr>
                <w:rFonts w:ascii="Calibri" w:hAnsi="Calibri"/>
                <w:color w:val="000000"/>
                <w:sz w:val="14"/>
                <w:szCs w:val="20"/>
                <w:lang w:val="en-GB"/>
              </w:rPr>
              <w:t>principle-</w:t>
            </w:r>
            <w:r w:rsidRPr="00A42B3C">
              <w:rPr>
                <w:rFonts w:ascii="Calibri" w:hAnsi="Calibri"/>
                <w:color w:val="000000"/>
                <w:sz w:val="14"/>
                <w:szCs w:val="20"/>
                <w:lang w:val="en-GB"/>
              </w:rPr>
              <w:t>based regulation and may limit valid market development/ disrupt existing markets (non-UK)</w:t>
            </w:r>
          </w:p>
        </w:tc>
        <w:tc>
          <w:tcPr>
            <w:tcW w:w="1276"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jc w:val="both"/>
              <w:rPr>
                <w:rFonts w:ascii="Calibri" w:hAnsi="Calibri"/>
                <w:color w:val="000000"/>
                <w:sz w:val="14"/>
                <w:szCs w:val="20"/>
                <w:lang w:val="en-GB"/>
              </w:rPr>
            </w:pPr>
            <w:r w:rsidRPr="00A42B3C">
              <w:rPr>
                <w:rFonts w:ascii="Calibri" w:hAnsi="Calibri"/>
                <w:color w:val="000000"/>
                <w:sz w:val="14"/>
                <w:szCs w:val="20"/>
                <w:lang w:val="en-GB"/>
              </w:rPr>
              <w:t>Moderate</w:t>
            </w:r>
          </w:p>
        </w:tc>
        <w:tc>
          <w:tcPr>
            <w:tcW w:w="1417"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jc w:val="both"/>
              <w:rPr>
                <w:rFonts w:ascii="Calibri" w:hAnsi="Calibri"/>
                <w:color w:val="000000"/>
                <w:sz w:val="14"/>
                <w:szCs w:val="20"/>
                <w:lang w:val="en-GB"/>
              </w:rPr>
            </w:pPr>
            <w:r w:rsidRPr="00A42B3C">
              <w:rPr>
                <w:rFonts w:ascii="Calibri" w:hAnsi="Calibri"/>
                <w:color w:val="000000"/>
                <w:sz w:val="14"/>
                <w:szCs w:val="20"/>
                <w:lang w:val="en-GB"/>
              </w:rPr>
              <w:t>Remove proposed paragraph</w:t>
            </w:r>
          </w:p>
        </w:tc>
        <w:tc>
          <w:tcPr>
            <w:tcW w:w="1417"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jc w:val="both"/>
              <w:rPr>
                <w:rFonts w:ascii="Calibri" w:hAnsi="Calibri"/>
                <w:color w:val="000000"/>
                <w:sz w:val="14"/>
                <w:szCs w:val="20"/>
                <w:lang w:val="en-GB"/>
              </w:rPr>
            </w:pPr>
            <w:r w:rsidRPr="00A42B3C">
              <w:rPr>
                <w:rFonts w:ascii="Calibri" w:hAnsi="Calibri"/>
                <w:color w:val="000000"/>
                <w:sz w:val="14"/>
                <w:szCs w:val="20"/>
                <w:lang w:val="en-GB"/>
              </w:rPr>
              <w:t>EU</w:t>
            </w:r>
          </w:p>
        </w:tc>
      </w:tr>
      <w:tr w:rsidR="00250941" w:rsidRPr="00A42B3C" w:rsidTr="00250941">
        <w:trPr>
          <w:trHeight w:val="475"/>
        </w:trPr>
        <w:tc>
          <w:tcPr>
            <w:tcW w:w="988"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spacing w:line="256" w:lineRule="auto"/>
              <w:jc w:val="both"/>
              <w:rPr>
                <w:rFonts w:ascii="Calibri" w:eastAsia="Times New Roman" w:hAnsi="Calibri" w:cs="Calibri"/>
                <w:sz w:val="14"/>
                <w:szCs w:val="14"/>
                <w:lang w:val="en-GB" w:eastAsia="en-GB"/>
              </w:rPr>
            </w:pPr>
            <w:r w:rsidRPr="00A42B3C">
              <w:rPr>
                <w:rFonts w:ascii="Calibri" w:eastAsia="Times New Roman" w:hAnsi="Calibri" w:cs="Calibri"/>
                <w:sz w:val="14"/>
                <w:szCs w:val="14"/>
                <w:lang w:val="en-GB" w:eastAsia="en-GB"/>
              </w:rPr>
              <w:t>4</w:t>
            </w:r>
          </w:p>
        </w:tc>
        <w:tc>
          <w:tcPr>
            <w:tcW w:w="992"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jc w:val="both"/>
              <w:rPr>
                <w:rFonts w:ascii="Calibri" w:hAnsi="Calibri"/>
                <w:color w:val="000000"/>
                <w:sz w:val="14"/>
                <w:szCs w:val="20"/>
                <w:lang w:val="en-GB"/>
              </w:rPr>
            </w:pPr>
            <w:r w:rsidRPr="00A42B3C">
              <w:rPr>
                <w:rFonts w:ascii="Calibri" w:hAnsi="Calibri"/>
                <w:color w:val="000000"/>
                <w:sz w:val="14"/>
                <w:szCs w:val="20"/>
                <w:lang w:val="en-GB"/>
              </w:rPr>
              <w:t>Regulation article 1 para 1d</w:t>
            </w:r>
          </w:p>
        </w:tc>
        <w:tc>
          <w:tcPr>
            <w:tcW w:w="2268"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jc w:val="both"/>
              <w:rPr>
                <w:rFonts w:ascii="Calibri" w:hAnsi="Calibri"/>
                <w:color w:val="000000"/>
                <w:sz w:val="14"/>
                <w:szCs w:val="20"/>
                <w:lang w:val="en-GB"/>
              </w:rPr>
            </w:pPr>
            <w:r w:rsidRPr="00A42B3C">
              <w:rPr>
                <w:rFonts w:ascii="Calibri" w:hAnsi="Calibri"/>
                <w:color w:val="000000"/>
                <w:sz w:val="14"/>
                <w:szCs w:val="20"/>
                <w:lang w:val="en-GB"/>
              </w:rPr>
              <w:t>Limits on assets contributing to OC</w:t>
            </w:r>
          </w:p>
        </w:tc>
        <w:tc>
          <w:tcPr>
            <w:tcW w:w="2551"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jc w:val="both"/>
              <w:rPr>
                <w:rFonts w:ascii="Calibri" w:hAnsi="Calibri"/>
                <w:color w:val="000000"/>
                <w:sz w:val="14"/>
                <w:szCs w:val="20"/>
                <w:lang w:val="en-GB"/>
              </w:rPr>
            </w:pPr>
            <w:r w:rsidRPr="00A42B3C">
              <w:rPr>
                <w:rFonts w:ascii="Calibri" w:hAnsi="Calibri"/>
                <w:color w:val="000000"/>
                <w:sz w:val="14"/>
                <w:szCs w:val="20"/>
                <w:lang w:val="en-GB"/>
              </w:rPr>
              <w:t>amended to include assets in exposure limits</w:t>
            </w:r>
          </w:p>
        </w:tc>
        <w:tc>
          <w:tcPr>
            <w:tcW w:w="2410"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jc w:val="both"/>
              <w:rPr>
                <w:rFonts w:ascii="Calibri" w:hAnsi="Calibri"/>
                <w:color w:val="000000"/>
                <w:sz w:val="14"/>
                <w:szCs w:val="20"/>
                <w:lang w:val="en-GB"/>
              </w:rPr>
            </w:pPr>
            <w:r w:rsidRPr="00A42B3C">
              <w:rPr>
                <w:rFonts w:ascii="Calibri" w:hAnsi="Calibri"/>
                <w:color w:val="000000"/>
                <w:sz w:val="14"/>
                <w:szCs w:val="20"/>
                <w:lang w:val="en-GB"/>
              </w:rPr>
              <w:t>Do not believe that these assets should be subject to exposure limits</w:t>
            </w:r>
          </w:p>
        </w:tc>
        <w:tc>
          <w:tcPr>
            <w:tcW w:w="1276"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jc w:val="both"/>
              <w:rPr>
                <w:rFonts w:ascii="Calibri" w:hAnsi="Calibri"/>
                <w:color w:val="000000"/>
                <w:sz w:val="14"/>
                <w:szCs w:val="20"/>
                <w:lang w:val="en-GB"/>
              </w:rPr>
            </w:pPr>
            <w:r w:rsidRPr="00A42B3C">
              <w:rPr>
                <w:rFonts w:ascii="Calibri" w:hAnsi="Calibri"/>
                <w:color w:val="000000"/>
                <w:sz w:val="14"/>
                <w:szCs w:val="20"/>
                <w:lang w:val="en-GB"/>
              </w:rPr>
              <w:t>Moderate</w:t>
            </w:r>
          </w:p>
        </w:tc>
        <w:tc>
          <w:tcPr>
            <w:tcW w:w="1417"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jc w:val="both"/>
              <w:rPr>
                <w:rFonts w:ascii="Calibri" w:hAnsi="Calibri"/>
                <w:color w:val="000000"/>
                <w:sz w:val="14"/>
                <w:szCs w:val="20"/>
                <w:lang w:val="en-GB"/>
              </w:rPr>
            </w:pPr>
            <w:r w:rsidRPr="00A42B3C">
              <w:rPr>
                <w:rFonts w:ascii="Calibri" w:hAnsi="Calibri"/>
                <w:color w:val="000000"/>
                <w:sz w:val="14"/>
                <w:szCs w:val="20"/>
                <w:lang w:val="en-GB"/>
              </w:rPr>
              <w:t>Revert to original text</w:t>
            </w:r>
          </w:p>
        </w:tc>
        <w:tc>
          <w:tcPr>
            <w:tcW w:w="1417" w:type="dxa"/>
            <w:tcBorders>
              <w:top w:val="single" w:sz="4" w:space="0" w:color="auto"/>
              <w:left w:val="single" w:sz="4" w:space="0" w:color="auto"/>
              <w:bottom w:val="single" w:sz="4" w:space="0" w:color="auto"/>
              <w:right w:val="single" w:sz="4" w:space="0" w:color="auto"/>
            </w:tcBorders>
            <w:vAlign w:val="center"/>
          </w:tcPr>
          <w:p w:rsidR="00250941" w:rsidRPr="00A42B3C" w:rsidRDefault="00250941" w:rsidP="000B7E74">
            <w:pPr>
              <w:jc w:val="both"/>
              <w:rPr>
                <w:rFonts w:ascii="Calibri" w:hAnsi="Calibri"/>
                <w:color w:val="000000"/>
                <w:sz w:val="14"/>
                <w:szCs w:val="20"/>
                <w:lang w:val="en-GB"/>
              </w:rPr>
            </w:pPr>
            <w:r w:rsidRPr="00A42B3C">
              <w:rPr>
                <w:rFonts w:ascii="Calibri" w:hAnsi="Calibri"/>
                <w:color w:val="000000"/>
                <w:sz w:val="14"/>
                <w:szCs w:val="20"/>
                <w:lang w:val="en-GB"/>
              </w:rPr>
              <w:t>EU</w:t>
            </w:r>
          </w:p>
        </w:tc>
      </w:tr>
      <w:bookmarkEnd w:id="24"/>
    </w:tbl>
    <w:p w:rsidR="00462474" w:rsidRPr="00A42B3C" w:rsidRDefault="00462474" w:rsidP="00B5349D">
      <w:pPr>
        <w:rPr>
          <w:rFonts w:asciiTheme="majorHAnsi" w:hAnsiTheme="majorHAnsi" w:cstheme="majorHAnsi"/>
          <w:i/>
          <w:sz w:val="20"/>
          <w:lang w:val="en-GB"/>
        </w:rPr>
      </w:pPr>
    </w:p>
    <w:p w:rsidR="0013288F" w:rsidRPr="00A42B3C" w:rsidRDefault="006D4D9F" w:rsidP="00462474">
      <w:pPr>
        <w:rPr>
          <w:lang w:val="en-GB"/>
        </w:rPr>
      </w:pPr>
      <w:r w:rsidRPr="00A42B3C">
        <w:rPr>
          <w:rFonts w:asciiTheme="majorHAnsi" w:hAnsiTheme="majorHAnsi" w:cstheme="majorHAnsi"/>
          <w:i/>
          <w:sz w:val="20"/>
          <w:lang w:val="en-GB"/>
        </w:rPr>
        <w:t>Source: UK</w:t>
      </w:r>
      <w:r w:rsidR="00EC74AD" w:rsidRPr="00A42B3C">
        <w:rPr>
          <w:rFonts w:asciiTheme="majorHAnsi" w:hAnsiTheme="majorHAnsi" w:cstheme="majorHAnsi"/>
          <w:i/>
          <w:sz w:val="20"/>
          <w:lang w:val="en-GB"/>
        </w:rPr>
        <w:t xml:space="preserve"> </w:t>
      </w:r>
      <w:r w:rsidRPr="00A42B3C">
        <w:rPr>
          <w:rFonts w:asciiTheme="majorHAnsi" w:hAnsiTheme="majorHAnsi" w:cstheme="majorHAnsi"/>
          <w:i/>
          <w:sz w:val="20"/>
          <w:lang w:val="en-GB"/>
        </w:rPr>
        <w:t>R</w:t>
      </w:r>
      <w:r w:rsidR="00462474" w:rsidRPr="00A42B3C">
        <w:rPr>
          <w:rFonts w:asciiTheme="majorHAnsi" w:hAnsiTheme="majorHAnsi" w:cstheme="majorHAnsi"/>
          <w:i/>
          <w:sz w:val="20"/>
          <w:lang w:val="en-GB"/>
        </w:rPr>
        <w:t>CB</w:t>
      </w:r>
    </w:p>
    <w:sectPr w:rsidR="0013288F" w:rsidRPr="00A42B3C" w:rsidSect="00462474">
      <w:footerReference w:type="default" r:id="rId16"/>
      <w:pgSz w:w="16840" w:h="11900" w:orient="landscape"/>
      <w:pgMar w:top="992" w:right="1985" w:bottom="845" w:left="1418" w:header="73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4D8C" w:rsidRDefault="00DD4D8C" w:rsidP="009C2DB5">
      <w:r>
        <w:separator/>
      </w:r>
    </w:p>
  </w:endnote>
  <w:endnote w:type="continuationSeparator" w:id="0">
    <w:p w:rsidR="00DD4D8C" w:rsidRDefault="00DD4D8C" w:rsidP="009C2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Brandon Grotesque Regular">
    <w:altName w:val="Corbel"/>
    <w:panose1 w:val="020B0503020203060202"/>
    <w:charset w:val="00"/>
    <w:family w:val="swiss"/>
    <w:notTrueType/>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7909069"/>
      <w:docPartObj>
        <w:docPartGallery w:val="Page Numbers (Bottom of Page)"/>
        <w:docPartUnique/>
      </w:docPartObj>
    </w:sdtPr>
    <w:sdtEndPr>
      <w:rPr>
        <w:rFonts w:asciiTheme="majorHAnsi" w:hAnsiTheme="majorHAnsi" w:cstheme="majorHAnsi"/>
        <w:noProof/>
        <w:sz w:val="20"/>
      </w:rPr>
    </w:sdtEndPr>
    <w:sdtContent>
      <w:p w:rsidR="002F6214" w:rsidRPr="00CD1081" w:rsidRDefault="002F6214" w:rsidP="00CD1081">
        <w:pPr>
          <w:pStyle w:val="Footer"/>
          <w:jc w:val="right"/>
          <w:rPr>
            <w:rFonts w:asciiTheme="majorHAnsi" w:hAnsiTheme="majorHAnsi" w:cstheme="majorHAnsi"/>
            <w:sz w:val="20"/>
          </w:rPr>
        </w:pPr>
        <w:r w:rsidRPr="00CD1081">
          <w:rPr>
            <w:rFonts w:asciiTheme="majorHAnsi" w:hAnsiTheme="majorHAnsi" w:cstheme="majorHAnsi"/>
            <w:noProof/>
            <w:sz w:val="20"/>
            <w:lang w:val="en-GB" w:eastAsia="en-GB"/>
          </w:rPr>
          <mc:AlternateContent>
            <mc:Choice Requires="wps">
              <w:drawing>
                <wp:inline distT="0" distB="0" distL="0" distR="0" wp14:anchorId="2B8FC5C2" wp14:editId="45A25BF9">
                  <wp:extent cx="6840000" cy="477520"/>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477520"/>
                          </a:xfrm>
                          <a:prstGeom prst="rect">
                            <a:avLst/>
                          </a:prstGeom>
                          <a:solidFill>
                            <a:srgbClr val="FFFFFF"/>
                          </a:solidFill>
                          <a:ln w="9525">
                            <a:noFill/>
                            <a:miter lim="800000"/>
                            <a:headEnd/>
                            <a:tailEnd/>
                          </a:ln>
                        </wps:spPr>
                        <wps:txbx>
                          <w:txbxContent>
                            <w:p w:rsidR="002F6214" w:rsidRPr="006E3E32" w:rsidRDefault="002F6214" w:rsidP="00CD1081">
                              <w:pPr>
                                <w:tabs>
                                  <w:tab w:val="left" w:pos="360"/>
                                  <w:tab w:val="left" w:pos="540"/>
                                  <w:tab w:val="left" w:pos="3780"/>
                                  <w:tab w:val="left" w:pos="6840"/>
                                  <w:tab w:val="left" w:pos="9540"/>
                                </w:tabs>
                                <w:ind w:left="180"/>
                                <w:rPr>
                                  <w:rFonts w:ascii="Brandon Grotesque Regular" w:hAnsi="Brandon Grotesque Regular"/>
                                  <w:sz w:val="16"/>
                                  <w:szCs w:val="16"/>
                                  <w:lang w:val="en-GB"/>
                                </w:rPr>
                              </w:pPr>
                              <w:r w:rsidRPr="006E3E32">
                                <w:rPr>
                                  <w:rFonts w:ascii="Brandon Grotesque Regular" w:hAnsi="Brandon Grotesque Regular"/>
                                  <w:b/>
                                  <w:sz w:val="16"/>
                                  <w:szCs w:val="16"/>
                                  <w:lang w:val="en-GB"/>
                                </w:rPr>
                                <w:t>European Mortgage Federation</w:t>
                              </w:r>
                              <w:r w:rsidRPr="006E3E32">
                                <w:rPr>
                                  <w:rFonts w:ascii="Brandon Grotesque Regular" w:hAnsi="Brandon Grotesque Regular"/>
                                  <w:sz w:val="16"/>
                                  <w:szCs w:val="16"/>
                                  <w:lang w:val="en-GB"/>
                                </w:rPr>
                                <w:tab/>
                                <w:t>Rue de la Science 14A, 2nd Floor</w:t>
                              </w:r>
                              <w:r>
                                <w:rPr>
                                  <w:rFonts w:ascii="Brandon Grotesque Regular" w:hAnsi="Brandon Grotesque Regular"/>
                                  <w:sz w:val="16"/>
                                  <w:szCs w:val="16"/>
                                  <w:lang w:val="en-GB"/>
                                </w:rPr>
                                <w:tab/>
                              </w:r>
                              <w:r w:rsidRPr="006E3E32">
                                <w:rPr>
                                  <w:rFonts w:ascii="Brandon Grotesque Regular" w:hAnsi="Brandon Grotesque Regular"/>
                                  <w:sz w:val="16"/>
                                  <w:szCs w:val="16"/>
                                  <w:lang w:val="en-GB"/>
                                </w:rPr>
                                <w:t xml:space="preserve">T. +32 2 285 40 30 </w:t>
                              </w:r>
                              <w:r>
                                <w:rPr>
                                  <w:rFonts w:ascii="Brandon Grotesque Regular" w:hAnsi="Brandon Grotesque Regular"/>
                                  <w:sz w:val="16"/>
                                  <w:szCs w:val="16"/>
                                  <w:lang w:val="en-GB"/>
                                </w:rPr>
                                <w:tab/>
                              </w:r>
                              <w:r w:rsidRPr="006E3E32">
                                <w:rPr>
                                  <w:rFonts w:ascii="Brandon Grotesque Regular" w:hAnsi="Brandon Grotesque Regular"/>
                                  <w:color w:val="DE8400"/>
                                  <w:sz w:val="16"/>
                                  <w:szCs w:val="16"/>
                                  <w:lang w:val="en-GB"/>
                                </w:rPr>
                                <w:t>www.hypo.org</w:t>
                              </w:r>
                            </w:p>
                            <w:p w:rsidR="002F6214" w:rsidRPr="006E3E32" w:rsidRDefault="002F6214" w:rsidP="00CD1081">
                              <w:pPr>
                                <w:tabs>
                                  <w:tab w:val="left" w:pos="360"/>
                                  <w:tab w:val="left" w:pos="540"/>
                                  <w:tab w:val="left" w:pos="3780"/>
                                  <w:tab w:val="left" w:pos="6840"/>
                                </w:tabs>
                                <w:ind w:left="180"/>
                                <w:rPr>
                                  <w:rFonts w:ascii="Brandon Grotesque Regular" w:hAnsi="Brandon Grotesque Regular"/>
                                  <w:sz w:val="16"/>
                                  <w:szCs w:val="16"/>
                                  <w:lang w:val="en-GB"/>
                                </w:rPr>
                              </w:pPr>
                              <w:r w:rsidRPr="006E3E32">
                                <w:rPr>
                                  <w:rFonts w:ascii="Brandon Grotesque Regular" w:hAnsi="Brandon Grotesque Regular"/>
                                  <w:b/>
                                  <w:sz w:val="16"/>
                                  <w:szCs w:val="16"/>
                                  <w:lang w:val="en-GB"/>
                                </w:rPr>
                                <w:t>European Covered Bond Council</w:t>
                              </w:r>
                              <w:r w:rsidRPr="006E3E32">
                                <w:rPr>
                                  <w:rFonts w:ascii="Brandon Grotesque Regular" w:hAnsi="Brandon Grotesque Regular"/>
                                  <w:sz w:val="16"/>
                                  <w:szCs w:val="16"/>
                                  <w:lang w:val="en-GB"/>
                                </w:rPr>
                                <w:tab/>
                                <w:t>B-1040 Brussels – Belgium</w:t>
                              </w:r>
                              <w:r w:rsidRPr="006E3E32">
                                <w:rPr>
                                  <w:rFonts w:ascii="Brandon Grotesque Regular" w:hAnsi="Brandon Grotesque Regular"/>
                                  <w:sz w:val="16"/>
                                  <w:szCs w:val="16"/>
                                  <w:lang w:val="en-GB"/>
                                </w:rPr>
                                <w:tab/>
                                <w:t>info@hypo.org</w:t>
                              </w:r>
                            </w:p>
                          </w:txbxContent>
                        </wps:txbx>
                        <wps:bodyPr rot="0" vert="horz" wrap="square" lIns="91440" tIns="45720" rIns="91440" bIns="45720" anchor="t" anchorCtr="0">
                          <a:noAutofit/>
                        </wps:bodyPr>
                      </wps:wsp>
                    </a:graphicData>
                  </a:graphic>
                </wp:inline>
              </w:drawing>
            </mc:Choice>
            <mc:Fallback>
              <w:pict>
                <v:shapetype w14:anchorId="2B8FC5C2" id="_x0000_t202" coordsize="21600,21600" o:spt="202" path="m,l,21600r21600,l21600,xe">
                  <v:stroke joinstyle="miter"/>
                  <v:path gradientshapeok="t" o:connecttype="rect"/>
                </v:shapetype>
                <v:shape id="Text Box 2" o:spid="_x0000_s1029" type="#_x0000_t202" style="width:538.6pt;height:3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" stroked="f">
                  <v:textbox>
                    <w:txbxContent>
                      <w:p w:rsidR="002F6214" w:rsidRPr="006E3E32" w:rsidRDefault="002F6214" w:rsidP="00CD1081">
                        <w:pPr>
                          <w:tabs>
                            <w:tab w:val="left" w:pos="360"/>
                            <w:tab w:val="left" w:pos="540"/>
                            <w:tab w:val="left" w:pos="3780"/>
                            <w:tab w:val="left" w:pos="6840"/>
                            <w:tab w:val="left" w:pos="9540"/>
                          </w:tabs>
                          <w:ind w:left="180"/>
                          <w:rPr>
                            <w:rFonts w:ascii="Brandon Grotesque Regular" w:hAnsi="Brandon Grotesque Regular"/>
                            <w:sz w:val="16"/>
                            <w:szCs w:val="16"/>
                            <w:lang w:val="en-GB"/>
                          </w:rPr>
                        </w:pPr>
                        <w:r w:rsidRPr="006E3E32">
                          <w:rPr>
                            <w:rFonts w:ascii="Brandon Grotesque Regular" w:hAnsi="Brandon Grotesque Regular"/>
                            <w:b/>
                            <w:sz w:val="16"/>
                            <w:szCs w:val="16"/>
                            <w:lang w:val="en-GB"/>
                          </w:rPr>
                          <w:t>European Mortgage Federation</w:t>
                        </w:r>
                        <w:r w:rsidRPr="006E3E32">
                          <w:rPr>
                            <w:rFonts w:ascii="Brandon Grotesque Regular" w:hAnsi="Brandon Grotesque Regular"/>
                            <w:sz w:val="16"/>
                            <w:szCs w:val="16"/>
                            <w:lang w:val="en-GB"/>
                          </w:rPr>
                          <w:tab/>
                          <w:t>Rue de la Science 14A, 2nd Floor</w:t>
                        </w:r>
                        <w:r>
                          <w:rPr>
                            <w:rFonts w:ascii="Brandon Grotesque Regular" w:hAnsi="Brandon Grotesque Regular"/>
                            <w:sz w:val="16"/>
                            <w:szCs w:val="16"/>
                            <w:lang w:val="en-GB"/>
                          </w:rPr>
                          <w:tab/>
                        </w:r>
                        <w:r w:rsidRPr="006E3E32">
                          <w:rPr>
                            <w:rFonts w:ascii="Brandon Grotesque Regular" w:hAnsi="Brandon Grotesque Regular"/>
                            <w:sz w:val="16"/>
                            <w:szCs w:val="16"/>
                            <w:lang w:val="en-GB"/>
                          </w:rPr>
                          <w:t xml:space="preserve">T. +32 2 285 40 30 </w:t>
                        </w:r>
                        <w:r>
                          <w:rPr>
                            <w:rFonts w:ascii="Brandon Grotesque Regular" w:hAnsi="Brandon Grotesque Regular"/>
                            <w:sz w:val="16"/>
                            <w:szCs w:val="16"/>
                            <w:lang w:val="en-GB"/>
                          </w:rPr>
                          <w:tab/>
                        </w:r>
                        <w:r w:rsidRPr="006E3E32">
                          <w:rPr>
                            <w:rFonts w:ascii="Brandon Grotesque Regular" w:hAnsi="Brandon Grotesque Regular"/>
                            <w:color w:val="DE8400"/>
                            <w:sz w:val="16"/>
                            <w:szCs w:val="16"/>
                            <w:lang w:val="en-GB"/>
                          </w:rPr>
                          <w:t>www.hypo.org</w:t>
                        </w:r>
                      </w:p>
                      <w:p w:rsidR="002F6214" w:rsidRPr="006E3E32" w:rsidRDefault="002F6214" w:rsidP="00CD1081">
                        <w:pPr>
                          <w:tabs>
                            <w:tab w:val="left" w:pos="360"/>
                            <w:tab w:val="left" w:pos="540"/>
                            <w:tab w:val="left" w:pos="3780"/>
                            <w:tab w:val="left" w:pos="6840"/>
                          </w:tabs>
                          <w:ind w:left="180"/>
                          <w:rPr>
                            <w:rFonts w:ascii="Brandon Grotesque Regular" w:hAnsi="Brandon Grotesque Regular"/>
                            <w:sz w:val="16"/>
                            <w:szCs w:val="16"/>
                            <w:lang w:val="en-GB"/>
                          </w:rPr>
                        </w:pPr>
                        <w:r w:rsidRPr="006E3E32">
                          <w:rPr>
                            <w:rFonts w:ascii="Brandon Grotesque Regular" w:hAnsi="Brandon Grotesque Regular"/>
                            <w:b/>
                            <w:sz w:val="16"/>
                            <w:szCs w:val="16"/>
                            <w:lang w:val="en-GB"/>
                          </w:rPr>
                          <w:t>European Covered Bond Council</w:t>
                        </w:r>
                        <w:r w:rsidRPr="006E3E32">
                          <w:rPr>
                            <w:rFonts w:ascii="Brandon Grotesque Regular" w:hAnsi="Brandon Grotesque Regular"/>
                            <w:sz w:val="16"/>
                            <w:szCs w:val="16"/>
                            <w:lang w:val="en-GB"/>
                          </w:rPr>
                          <w:tab/>
                          <w:t>B-1040 Brussels – Belgium</w:t>
                        </w:r>
                        <w:r w:rsidRPr="006E3E32">
                          <w:rPr>
                            <w:rFonts w:ascii="Brandon Grotesque Regular" w:hAnsi="Brandon Grotesque Regular"/>
                            <w:sz w:val="16"/>
                            <w:szCs w:val="16"/>
                            <w:lang w:val="en-GB"/>
                          </w:rPr>
                          <w:tab/>
                          <w:t>info@hypo.org</w:t>
                        </w:r>
                      </w:p>
                    </w:txbxContent>
                  </v:textbox>
                  <w10:anchorlock/>
                </v:shape>
              </w:pict>
            </mc:Fallback>
          </mc:AlternateContent>
        </w:r>
        <w:r w:rsidRPr="00CD1081">
          <w:rPr>
            <w:rFonts w:asciiTheme="majorHAnsi" w:hAnsiTheme="majorHAnsi" w:cstheme="majorHAnsi"/>
            <w:sz w:val="20"/>
          </w:rPr>
          <w:fldChar w:fldCharType="begin"/>
        </w:r>
        <w:r w:rsidRPr="00CD1081">
          <w:rPr>
            <w:rFonts w:asciiTheme="majorHAnsi" w:hAnsiTheme="majorHAnsi" w:cstheme="majorHAnsi"/>
            <w:sz w:val="20"/>
          </w:rPr>
          <w:instrText xml:space="preserve"> PAGE   \* MERGEFORMAT </w:instrText>
        </w:r>
        <w:r w:rsidRPr="00CD1081">
          <w:rPr>
            <w:rFonts w:asciiTheme="majorHAnsi" w:hAnsiTheme="majorHAnsi" w:cstheme="majorHAnsi"/>
            <w:sz w:val="20"/>
          </w:rPr>
          <w:fldChar w:fldCharType="separate"/>
        </w:r>
        <w:r>
          <w:rPr>
            <w:rFonts w:asciiTheme="majorHAnsi" w:hAnsiTheme="majorHAnsi" w:cstheme="majorHAnsi"/>
            <w:noProof/>
            <w:sz w:val="20"/>
          </w:rPr>
          <w:t>1</w:t>
        </w:r>
        <w:r w:rsidRPr="00CD1081">
          <w:rPr>
            <w:rFonts w:asciiTheme="majorHAnsi" w:hAnsiTheme="majorHAnsi" w:cstheme="majorHAnsi"/>
            <w:noProof/>
            <w:sz w:val="20"/>
          </w:rPr>
          <w:fldChar w:fldCharType="end"/>
        </w:r>
      </w:p>
    </w:sdtContent>
  </w:sdt>
  <w:p w:rsidR="002F6214" w:rsidRDefault="002F62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7283756"/>
      <w:docPartObj>
        <w:docPartGallery w:val="Page Numbers (Bottom of Page)"/>
        <w:docPartUnique/>
      </w:docPartObj>
    </w:sdtPr>
    <w:sdtEndPr>
      <w:rPr>
        <w:rFonts w:asciiTheme="majorHAnsi" w:hAnsiTheme="majorHAnsi" w:cstheme="majorHAnsi"/>
        <w:noProof/>
        <w:sz w:val="20"/>
      </w:rPr>
    </w:sdtEndPr>
    <w:sdtContent>
      <w:p w:rsidR="002F6214" w:rsidRPr="00CD1081" w:rsidRDefault="002F6214">
        <w:pPr>
          <w:pStyle w:val="Footer"/>
          <w:jc w:val="right"/>
          <w:rPr>
            <w:rFonts w:asciiTheme="majorHAnsi" w:hAnsiTheme="majorHAnsi" w:cstheme="majorHAnsi"/>
            <w:sz w:val="20"/>
          </w:rPr>
        </w:pPr>
        <w:r>
          <w:rPr>
            <w:noProof/>
            <w:lang w:val="en-GB" w:eastAsia="en-GB"/>
          </w:rPr>
          <mc:AlternateContent>
            <mc:Choice Requires="wps">
              <w:drawing>
                <wp:inline distT="0" distB="0" distL="0" distR="0" wp14:anchorId="5E1CBF82" wp14:editId="0FEBBC91">
                  <wp:extent cx="7260609" cy="366395"/>
                  <wp:effectExtent l="0" t="0" r="0" b="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0609" cy="366395"/>
                          </a:xfrm>
                          <a:prstGeom prst="rect">
                            <a:avLst/>
                          </a:prstGeom>
                          <a:solidFill>
                            <a:srgbClr val="FFFFFF"/>
                          </a:solidFill>
                          <a:ln w="9525">
                            <a:noFill/>
                            <a:miter lim="800000"/>
                            <a:headEnd/>
                            <a:tailEnd/>
                          </a:ln>
                        </wps:spPr>
                        <wps:txbx>
                          <w:txbxContent>
                            <w:p w:rsidR="002F6214" w:rsidRPr="006E3E32" w:rsidRDefault="002F6214" w:rsidP="006578E9">
                              <w:pPr>
                                <w:tabs>
                                  <w:tab w:val="left" w:pos="360"/>
                                  <w:tab w:val="left" w:pos="540"/>
                                  <w:tab w:val="left" w:pos="3780"/>
                                  <w:tab w:val="left" w:pos="6840"/>
                                  <w:tab w:val="left" w:pos="9540"/>
                                </w:tabs>
                                <w:ind w:left="-113"/>
                                <w:rPr>
                                  <w:rFonts w:ascii="Brandon Grotesque Regular" w:hAnsi="Brandon Grotesque Regular"/>
                                  <w:sz w:val="16"/>
                                  <w:szCs w:val="16"/>
                                  <w:lang w:val="en-GB"/>
                                </w:rPr>
                              </w:pPr>
                              <w:r w:rsidRPr="006E3E32">
                                <w:rPr>
                                  <w:rFonts w:ascii="Brandon Grotesque Regular" w:hAnsi="Brandon Grotesque Regular"/>
                                  <w:b/>
                                  <w:sz w:val="16"/>
                                  <w:szCs w:val="16"/>
                                  <w:lang w:val="en-GB"/>
                                </w:rPr>
                                <w:t>European Mortgage Federation</w:t>
                              </w:r>
                              <w:r w:rsidRPr="006E3E32">
                                <w:rPr>
                                  <w:rFonts w:ascii="Brandon Grotesque Regular" w:hAnsi="Brandon Grotesque Regular"/>
                                  <w:sz w:val="16"/>
                                  <w:szCs w:val="16"/>
                                  <w:lang w:val="en-GB"/>
                                </w:rPr>
                                <w:tab/>
                                <w:t>Rue de la Science 14A, 2nd Floor</w:t>
                              </w:r>
                              <w:r>
                                <w:rPr>
                                  <w:rFonts w:ascii="Brandon Grotesque Regular" w:hAnsi="Brandon Grotesque Regular"/>
                                  <w:sz w:val="16"/>
                                  <w:szCs w:val="16"/>
                                  <w:lang w:val="en-GB"/>
                                </w:rPr>
                                <w:tab/>
                              </w:r>
                              <w:r w:rsidRPr="006E3E32">
                                <w:rPr>
                                  <w:rFonts w:ascii="Brandon Grotesque Regular" w:hAnsi="Brandon Grotesque Regular"/>
                                  <w:sz w:val="16"/>
                                  <w:szCs w:val="16"/>
                                  <w:lang w:val="en-GB"/>
                                </w:rPr>
                                <w:t xml:space="preserve">T. +32 2 285 40 30 </w:t>
                              </w:r>
                              <w:r>
                                <w:rPr>
                                  <w:rFonts w:ascii="Brandon Grotesque Regular" w:hAnsi="Brandon Grotesque Regular"/>
                                  <w:sz w:val="16"/>
                                  <w:szCs w:val="16"/>
                                  <w:lang w:val="en-GB"/>
                                </w:rPr>
                                <w:tab/>
                              </w:r>
                              <w:r w:rsidRPr="006E3E32">
                                <w:rPr>
                                  <w:rFonts w:ascii="Brandon Grotesque Regular" w:hAnsi="Brandon Grotesque Regular"/>
                                  <w:color w:val="DE8400"/>
                                  <w:sz w:val="16"/>
                                  <w:szCs w:val="16"/>
                                  <w:lang w:val="en-GB"/>
                                </w:rPr>
                                <w:t>www.hypo.org</w:t>
                              </w:r>
                            </w:p>
                            <w:p w:rsidR="002F6214" w:rsidRPr="006E3E32" w:rsidRDefault="002F6214" w:rsidP="006578E9">
                              <w:pPr>
                                <w:tabs>
                                  <w:tab w:val="left" w:pos="360"/>
                                  <w:tab w:val="left" w:pos="540"/>
                                  <w:tab w:val="left" w:pos="3780"/>
                                  <w:tab w:val="left" w:pos="6840"/>
                                </w:tabs>
                                <w:ind w:left="-170"/>
                                <w:rPr>
                                  <w:rFonts w:ascii="Brandon Grotesque Regular" w:hAnsi="Brandon Grotesque Regular"/>
                                  <w:sz w:val="16"/>
                                  <w:szCs w:val="16"/>
                                  <w:lang w:val="en-GB"/>
                                </w:rPr>
                              </w:pPr>
                              <w:r w:rsidRPr="006E3E32">
                                <w:rPr>
                                  <w:rFonts w:ascii="Brandon Grotesque Regular" w:hAnsi="Brandon Grotesque Regular"/>
                                  <w:b/>
                                  <w:sz w:val="16"/>
                                  <w:szCs w:val="16"/>
                                  <w:lang w:val="en-GB"/>
                                </w:rPr>
                                <w:t>European Covered Bond Council</w:t>
                              </w:r>
                              <w:r w:rsidRPr="006E3E32">
                                <w:rPr>
                                  <w:rFonts w:ascii="Brandon Grotesque Regular" w:hAnsi="Brandon Grotesque Regular"/>
                                  <w:sz w:val="16"/>
                                  <w:szCs w:val="16"/>
                                  <w:lang w:val="en-GB"/>
                                </w:rPr>
                                <w:tab/>
                                <w:t>B-1040 Brussels – Belgium</w:t>
                              </w:r>
                              <w:r w:rsidRPr="006E3E32">
                                <w:rPr>
                                  <w:rFonts w:ascii="Brandon Grotesque Regular" w:hAnsi="Brandon Grotesque Regular"/>
                                  <w:sz w:val="16"/>
                                  <w:szCs w:val="16"/>
                                  <w:lang w:val="en-GB"/>
                                </w:rPr>
                                <w:tab/>
                                <w:t>info@hypo.org</w:t>
                              </w:r>
                            </w:p>
                          </w:txbxContent>
                        </wps:txbx>
                        <wps:bodyPr rot="0" vert="horz" wrap="square" lIns="91440" tIns="45720" rIns="91440" bIns="45720" anchor="t" anchorCtr="0">
                          <a:noAutofit/>
                        </wps:bodyPr>
                      </wps:wsp>
                    </a:graphicData>
                  </a:graphic>
                </wp:inline>
              </w:drawing>
            </mc:Choice>
            <mc:Fallback>
              <w:pict>
                <v:shapetype w14:anchorId="5E1CBF82" id="_x0000_t202" coordsize="21600,21600" o:spt="202" path="m,l,21600r21600,l21600,xe">
                  <v:stroke joinstyle="miter"/>
                  <v:path gradientshapeok="t" o:connecttype="rect"/>
                </v:shapetype>
                <v:shape id="_x0000_s1030" type="#_x0000_t202" style="width:571.7pt;height:2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" stroked="f">
                  <v:textbox>
                    <w:txbxContent>
                      <w:p w:rsidR="002F6214" w:rsidRPr="006E3E32" w:rsidRDefault="002F6214" w:rsidP="006578E9">
                        <w:pPr>
                          <w:tabs>
                            <w:tab w:val="left" w:pos="360"/>
                            <w:tab w:val="left" w:pos="540"/>
                            <w:tab w:val="left" w:pos="3780"/>
                            <w:tab w:val="left" w:pos="6840"/>
                            <w:tab w:val="left" w:pos="9540"/>
                          </w:tabs>
                          <w:ind w:left="-113"/>
                          <w:rPr>
                            <w:rFonts w:ascii="Brandon Grotesque Regular" w:hAnsi="Brandon Grotesque Regular"/>
                            <w:sz w:val="16"/>
                            <w:szCs w:val="16"/>
                            <w:lang w:val="en-GB"/>
                          </w:rPr>
                        </w:pPr>
                        <w:r w:rsidRPr="006E3E32">
                          <w:rPr>
                            <w:rFonts w:ascii="Brandon Grotesque Regular" w:hAnsi="Brandon Grotesque Regular"/>
                            <w:b/>
                            <w:sz w:val="16"/>
                            <w:szCs w:val="16"/>
                            <w:lang w:val="en-GB"/>
                          </w:rPr>
                          <w:t>European Mortgage Federation</w:t>
                        </w:r>
                        <w:r w:rsidRPr="006E3E32">
                          <w:rPr>
                            <w:rFonts w:ascii="Brandon Grotesque Regular" w:hAnsi="Brandon Grotesque Regular"/>
                            <w:sz w:val="16"/>
                            <w:szCs w:val="16"/>
                            <w:lang w:val="en-GB"/>
                          </w:rPr>
                          <w:tab/>
                          <w:t>Rue de la Science 14A, 2nd Floor</w:t>
                        </w:r>
                        <w:r>
                          <w:rPr>
                            <w:rFonts w:ascii="Brandon Grotesque Regular" w:hAnsi="Brandon Grotesque Regular"/>
                            <w:sz w:val="16"/>
                            <w:szCs w:val="16"/>
                            <w:lang w:val="en-GB"/>
                          </w:rPr>
                          <w:tab/>
                        </w:r>
                        <w:r w:rsidRPr="006E3E32">
                          <w:rPr>
                            <w:rFonts w:ascii="Brandon Grotesque Regular" w:hAnsi="Brandon Grotesque Regular"/>
                            <w:sz w:val="16"/>
                            <w:szCs w:val="16"/>
                            <w:lang w:val="en-GB"/>
                          </w:rPr>
                          <w:t xml:space="preserve">T. +32 2 285 40 30 </w:t>
                        </w:r>
                        <w:r>
                          <w:rPr>
                            <w:rFonts w:ascii="Brandon Grotesque Regular" w:hAnsi="Brandon Grotesque Regular"/>
                            <w:sz w:val="16"/>
                            <w:szCs w:val="16"/>
                            <w:lang w:val="en-GB"/>
                          </w:rPr>
                          <w:tab/>
                        </w:r>
                        <w:r w:rsidRPr="006E3E32">
                          <w:rPr>
                            <w:rFonts w:ascii="Brandon Grotesque Regular" w:hAnsi="Brandon Grotesque Regular"/>
                            <w:color w:val="DE8400"/>
                            <w:sz w:val="16"/>
                            <w:szCs w:val="16"/>
                            <w:lang w:val="en-GB"/>
                          </w:rPr>
                          <w:t>www.hypo.org</w:t>
                        </w:r>
                      </w:p>
                      <w:p w:rsidR="002F6214" w:rsidRPr="006E3E32" w:rsidRDefault="002F6214" w:rsidP="006578E9">
                        <w:pPr>
                          <w:tabs>
                            <w:tab w:val="left" w:pos="360"/>
                            <w:tab w:val="left" w:pos="540"/>
                            <w:tab w:val="left" w:pos="3780"/>
                            <w:tab w:val="left" w:pos="6840"/>
                          </w:tabs>
                          <w:ind w:left="-170"/>
                          <w:rPr>
                            <w:rFonts w:ascii="Brandon Grotesque Regular" w:hAnsi="Brandon Grotesque Regular"/>
                            <w:sz w:val="16"/>
                            <w:szCs w:val="16"/>
                            <w:lang w:val="en-GB"/>
                          </w:rPr>
                        </w:pPr>
                        <w:r w:rsidRPr="006E3E32">
                          <w:rPr>
                            <w:rFonts w:ascii="Brandon Grotesque Regular" w:hAnsi="Brandon Grotesque Regular"/>
                            <w:b/>
                            <w:sz w:val="16"/>
                            <w:szCs w:val="16"/>
                            <w:lang w:val="en-GB"/>
                          </w:rPr>
                          <w:t>European Covered Bond Council</w:t>
                        </w:r>
                        <w:r w:rsidRPr="006E3E32">
                          <w:rPr>
                            <w:rFonts w:ascii="Brandon Grotesque Regular" w:hAnsi="Brandon Grotesque Regular"/>
                            <w:sz w:val="16"/>
                            <w:szCs w:val="16"/>
                            <w:lang w:val="en-GB"/>
                          </w:rPr>
                          <w:tab/>
                          <w:t>B-1040 Brussels – Belgium</w:t>
                        </w:r>
                        <w:r w:rsidRPr="006E3E32">
                          <w:rPr>
                            <w:rFonts w:ascii="Brandon Grotesque Regular" w:hAnsi="Brandon Grotesque Regular"/>
                            <w:sz w:val="16"/>
                            <w:szCs w:val="16"/>
                            <w:lang w:val="en-GB"/>
                          </w:rPr>
                          <w:tab/>
                          <w:t>info@hypo.org</w:t>
                        </w:r>
                      </w:p>
                    </w:txbxContent>
                  </v:textbox>
                  <w10:anchorlock/>
                </v:shape>
              </w:pict>
            </mc:Fallback>
          </mc:AlternateContent>
        </w:r>
        <w:r w:rsidRPr="00CD1081">
          <w:rPr>
            <w:rFonts w:asciiTheme="majorHAnsi" w:hAnsiTheme="majorHAnsi" w:cstheme="majorHAnsi"/>
            <w:sz w:val="20"/>
          </w:rPr>
          <w:fldChar w:fldCharType="begin"/>
        </w:r>
        <w:r w:rsidRPr="00CD1081">
          <w:rPr>
            <w:rFonts w:asciiTheme="majorHAnsi" w:hAnsiTheme="majorHAnsi" w:cstheme="majorHAnsi"/>
            <w:sz w:val="20"/>
          </w:rPr>
          <w:instrText xml:space="preserve"> PAGE   \* MERGEFORMAT </w:instrText>
        </w:r>
        <w:r w:rsidRPr="00CD1081">
          <w:rPr>
            <w:rFonts w:asciiTheme="majorHAnsi" w:hAnsiTheme="majorHAnsi" w:cstheme="majorHAnsi"/>
            <w:sz w:val="20"/>
          </w:rPr>
          <w:fldChar w:fldCharType="separate"/>
        </w:r>
        <w:r>
          <w:rPr>
            <w:rFonts w:asciiTheme="majorHAnsi" w:hAnsiTheme="majorHAnsi" w:cstheme="majorHAnsi"/>
            <w:noProof/>
            <w:sz w:val="20"/>
          </w:rPr>
          <w:t>68</w:t>
        </w:r>
        <w:r w:rsidRPr="00CD1081">
          <w:rPr>
            <w:rFonts w:asciiTheme="majorHAnsi" w:hAnsiTheme="majorHAnsi" w:cstheme="majorHAnsi"/>
            <w:noProof/>
            <w:sz w:val="20"/>
          </w:rPr>
          <w:fldChar w:fldCharType="end"/>
        </w:r>
      </w:p>
    </w:sdtContent>
  </w:sdt>
  <w:p w:rsidR="002F6214" w:rsidRDefault="002F62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4D8C" w:rsidRDefault="00DD4D8C" w:rsidP="009C2DB5">
      <w:r>
        <w:separator/>
      </w:r>
    </w:p>
  </w:footnote>
  <w:footnote w:type="continuationSeparator" w:id="0">
    <w:p w:rsidR="00DD4D8C" w:rsidRDefault="00DD4D8C" w:rsidP="009C2D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214" w:rsidRDefault="00DD4D8C">
    <w:pPr>
      <w:pStyle w:val="Header"/>
    </w:pPr>
    <w:r>
      <w:rPr>
        <w:noProof/>
      </w:rPr>
      <w:pict w14:anchorId="4E141C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5pt;height:841.75pt;z-index:-251657216;mso-wrap-edited:f;mso-position-horizontal:center;mso-position-horizontal-relative:margin;mso-position-vertical:center;mso-position-vertical-relative:margin" wrapcoords="9521 2367 9521 2425 10555 2656 10800 2675 10800 4832 9521 4851 9521 4928 10800 5140 10800 6680 9222 6757 8270 6853 8215 6988 -27 7161 -27 7219 7589 7296 7209 7604 6937 7912 6120 8355 5848 8528 5495 8836 5277 9144 5114 9452 5005 10068 5059 10376 5168 10684 5141 10992 5032 11300 5005 11608 5141 12224 5522 12821 5903 13129 6964 13745 7236 14053 7671 14361 8433 14708 9140 14842 9276 14842 12296 14842 12459 14842 13139 14727 13928 14361 14363 14053 14662 13745 15125 13437 15696 13129 16050 12821 16268 12532 16458 12224 16594 11608 16540 11300 16404 10684 16540 10376 16567 9760 16485 9452 16322 9144 16077 8836 15751 8528 15370 8297 14662 7912 14390 7604 13982 7296 13602 7084 13384 6988 13329 6853 12214 6737 10800 6680 10800 5140 20294 4928 20294 4851 10800 4832 10800 2675 13030 2656 20321 2444 20321 2367 9521 2367">
          <v:imagedata r:id="rId1" o:title="fil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214" w:rsidRDefault="002F6214" w:rsidP="000F3434">
    <w:pPr>
      <w:pStyle w:val="Header"/>
      <w:tabs>
        <w:tab w:val="left" w:pos="3544"/>
      </w:tabs>
    </w:pPr>
    <w:r>
      <w:rPr>
        <w:noProof/>
        <w:lang w:val="en-GB" w:eastAsia="en-GB"/>
      </w:rPr>
      <w:drawing>
        <wp:inline distT="0" distB="0" distL="0" distR="0" wp14:anchorId="721BFAE1" wp14:editId="36746D3E">
          <wp:extent cx="2801620" cy="603250"/>
          <wp:effectExtent l="0" t="0" r="0" b="6350"/>
          <wp:docPr id="6" name="Image 1" descr="Data:Taf:FREELANCE:Paradigm:EMC ECBC:en-tete:tet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Taf:FREELANCE:Paradigm:EMC ECBC:en-tete:tete-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1620" cy="6032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214" w:rsidRDefault="00DD4D8C">
    <w:pPr>
      <w:pStyle w:val="Header"/>
    </w:pPr>
    <w:r>
      <w:rPr>
        <w:noProof/>
      </w:rPr>
      <w:pict w14:anchorId="6A7679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5pt;height:841.75pt;z-index:-251656192;mso-wrap-edited:f;mso-position-horizontal:center;mso-position-horizontal-relative:margin;mso-position-vertical:center;mso-position-vertical-relative:margin" wrapcoords="9521 2367 9521 2425 10555 2656 10800 2675 10800 4832 9521 4851 9521 4928 10800 5140 10800 6680 9222 6757 8270 6853 8215 6988 -27 7161 -27 7219 7589 7296 7209 7604 6937 7912 6120 8355 5848 8528 5495 8836 5277 9144 5114 9452 5005 10068 5059 10376 5168 10684 5141 10992 5032 11300 5005 11608 5141 12224 5522 12821 5903 13129 6964 13745 7236 14053 7671 14361 8433 14708 9140 14842 9276 14842 12296 14842 12459 14842 13139 14727 13928 14361 14363 14053 14662 13745 15125 13437 15696 13129 16050 12821 16268 12532 16458 12224 16594 11608 16540 11300 16404 10684 16540 10376 16567 9760 16485 9452 16322 9144 16077 8836 15751 8528 15370 8297 14662 7912 14390 7604 13982 7296 13602 7084 13384 6988 13329 6853 12214 6737 10800 6680 10800 5140 20294 4928 20294 4851 10800 4832 10800 2675 13030 2656 20321 2444 20321 2367 9521 2367">
          <v:imagedata r:id="rId1" o:title="fil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17265"/>
    <w:multiLevelType w:val="hybridMultilevel"/>
    <w:tmpl w:val="EF7C0E30"/>
    <w:lvl w:ilvl="0" w:tplc="27BCD0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DC1836"/>
    <w:multiLevelType w:val="hybridMultilevel"/>
    <w:tmpl w:val="E37C8B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3A259C"/>
    <w:multiLevelType w:val="hybridMultilevel"/>
    <w:tmpl w:val="F216D9BA"/>
    <w:lvl w:ilvl="0" w:tplc="1C322D52">
      <w:start w:val="1"/>
      <w:numFmt w:val="decimal"/>
      <w:lvlText w:val="%1."/>
      <w:lvlJc w:val="left"/>
      <w:pPr>
        <w:ind w:left="720" w:hanging="360"/>
      </w:pPr>
      <w:rPr>
        <w:rFonts w:hint="default"/>
        <w:sz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3C78B8"/>
    <w:multiLevelType w:val="multilevel"/>
    <w:tmpl w:val="2ED4F4D0"/>
    <w:name w:val="Point"/>
    <w:lvl w:ilvl="0">
      <w:start w:val="1"/>
      <w:numFmt w:val="decimal"/>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4" w15:restartNumberingAfterBreak="0">
    <w:nsid w:val="1D667F15"/>
    <w:multiLevelType w:val="hybridMultilevel"/>
    <w:tmpl w:val="4F886DEC"/>
    <w:lvl w:ilvl="0" w:tplc="08090001">
      <w:start w:val="1"/>
      <w:numFmt w:val="bullet"/>
      <w:lvlText w:val=""/>
      <w:lvlJc w:val="left"/>
      <w:pPr>
        <w:ind w:left="1144" w:hanging="360"/>
      </w:pPr>
      <w:rPr>
        <w:rFonts w:ascii="Symbol" w:hAnsi="Symbol" w:hint="default"/>
      </w:rPr>
    </w:lvl>
    <w:lvl w:ilvl="1" w:tplc="08090003" w:tentative="1">
      <w:start w:val="1"/>
      <w:numFmt w:val="bullet"/>
      <w:lvlText w:val="o"/>
      <w:lvlJc w:val="left"/>
      <w:pPr>
        <w:ind w:left="1864" w:hanging="360"/>
      </w:pPr>
      <w:rPr>
        <w:rFonts w:ascii="Courier New" w:hAnsi="Courier New" w:cs="Courier New" w:hint="default"/>
      </w:rPr>
    </w:lvl>
    <w:lvl w:ilvl="2" w:tplc="08090005" w:tentative="1">
      <w:start w:val="1"/>
      <w:numFmt w:val="bullet"/>
      <w:lvlText w:val=""/>
      <w:lvlJc w:val="left"/>
      <w:pPr>
        <w:ind w:left="2584" w:hanging="360"/>
      </w:pPr>
      <w:rPr>
        <w:rFonts w:ascii="Wingdings" w:hAnsi="Wingdings" w:hint="default"/>
      </w:rPr>
    </w:lvl>
    <w:lvl w:ilvl="3" w:tplc="08090001" w:tentative="1">
      <w:start w:val="1"/>
      <w:numFmt w:val="bullet"/>
      <w:lvlText w:val=""/>
      <w:lvlJc w:val="left"/>
      <w:pPr>
        <w:ind w:left="3304" w:hanging="360"/>
      </w:pPr>
      <w:rPr>
        <w:rFonts w:ascii="Symbol" w:hAnsi="Symbol" w:hint="default"/>
      </w:rPr>
    </w:lvl>
    <w:lvl w:ilvl="4" w:tplc="08090003" w:tentative="1">
      <w:start w:val="1"/>
      <w:numFmt w:val="bullet"/>
      <w:lvlText w:val="o"/>
      <w:lvlJc w:val="left"/>
      <w:pPr>
        <w:ind w:left="4024" w:hanging="360"/>
      </w:pPr>
      <w:rPr>
        <w:rFonts w:ascii="Courier New" w:hAnsi="Courier New" w:cs="Courier New" w:hint="default"/>
      </w:rPr>
    </w:lvl>
    <w:lvl w:ilvl="5" w:tplc="08090005" w:tentative="1">
      <w:start w:val="1"/>
      <w:numFmt w:val="bullet"/>
      <w:lvlText w:val=""/>
      <w:lvlJc w:val="left"/>
      <w:pPr>
        <w:ind w:left="4744" w:hanging="360"/>
      </w:pPr>
      <w:rPr>
        <w:rFonts w:ascii="Wingdings" w:hAnsi="Wingdings" w:hint="default"/>
      </w:rPr>
    </w:lvl>
    <w:lvl w:ilvl="6" w:tplc="08090001" w:tentative="1">
      <w:start w:val="1"/>
      <w:numFmt w:val="bullet"/>
      <w:lvlText w:val=""/>
      <w:lvlJc w:val="left"/>
      <w:pPr>
        <w:ind w:left="5464" w:hanging="360"/>
      </w:pPr>
      <w:rPr>
        <w:rFonts w:ascii="Symbol" w:hAnsi="Symbol" w:hint="default"/>
      </w:rPr>
    </w:lvl>
    <w:lvl w:ilvl="7" w:tplc="08090003" w:tentative="1">
      <w:start w:val="1"/>
      <w:numFmt w:val="bullet"/>
      <w:lvlText w:val="o"/>
      <w:lvlJc w:val="left"/>
      <w:pPr>
        <w:ind w:left="6184" w:hanging="360"/>
      </w:pPr>
      <w:rPr>
        <w:rFonts w:ascii="Courier New" w:hAnsi="Courier New" w:cs="Courier New" w:hint="default"/>
      </w:rPr>
    </w:lvl>
    <w:lvl w:ilvl="8" w:tplc="08090005" w:tentative="1">
      <w:start w:val="1"/>
      <w:numFmt w:val="bullet"/>
      <w:lvlText w:val=""/>
      <w:lvlJc w:val="left"/>
      <w:pPr>
        <w:ind w:left="6904" w:hanging="360"/>
      </w:pPr>
      <w:rPr>
        <w:rFonts w:ascii="Wingdings" w:hAnsi="Wingdings" w:hint="default"/>
      </w:rPr>
    </w:lvl>
  </w:abstractNum>
  <w:abstractNum w:abstractNumId="5" w15:restartNumberingAfterBreak="0">
    <w:nsid w:val="1DD93628"/>
    <w:multiLevelType w:val="hybridMultilevel"/>
    <w:tmpl w:val="23225CAC"/>
    <w:lvl w:ilvl="0" w:tplc="232EF9E6">
      <w:start w:val="1"/>
      <w:numFmt w:val="decimal"/>
      <w:pStyle w:val="Heading1"/>
      <w:lvlText w:val="%1."/>
      <w:lvlJc w:val="left"/>
      <w:pPr>
        <w:ind w:left="720" w:hanging="360"/>
      </w:pPr>
      <w:rPr>
        <w:rFonts w:hint="default"/>
        <w:b/>
        <w:color w:val="DE821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140B93"/>
    <w:multiLevelType w:val="hybridMultilevel"/>
    <w:tmpl w:val="D8F497B2"/>
    <w:lvl w:ilvl="0" w:tplc="F18625BC">
      <w:start w:val="1"/>
      <w:numFmt w:val="decimal"/>
      <w:lvlText w:val="(%1)"/>
      <w:lvlJc w:val="left"/>
      <w:pPr>
        <w:ind w:left="720" w:hanging="360"/>
      </w:pPr>
      <w:rPr>
        <w:rFonts w:ascii="Calibri" w:eastAsia="Calibri" w:hAnsi="Calibri" w:cs="Calibri" w:hint="default"/>
        <w:sz w:val="1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28DF3E72"/>
    <w:multiLevelType w:val="hybridMultilevel"/>
    <w:tmpl w:val="B4EAF3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A12611"/>
    <w:multiLevelType w:val="hybridMultilevel"/>
    <w:tmpl w:val="6B82CB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6B47FF"/>
    <w:multiLevelType w:val="hybridMultilevel"/>
    <w:tmpl w:val="A2DC664A"/>
    <w:lvl w:ilvl="0" w:tplc="9EF840DC">
      <w:start w:val="1"/>
      <w:numFmt w:val="decimal"/>
      <w:lvlText w:val="%1."/>
      <w:lvlJc w:val="left"/>
      <w:pPr>
        <w:ind w:left="720" w:hanging="360"/>
      </w:pPr>
      <w:rPr>
        <w:color w:val="DE84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721301"/>
    <w:multiLevelType w:val="hybridMultilevel"/>
    <w:tmpl w:val="6714D2CA"/>
    <w:lvl w:ilvl="0" w:tplc="CBA03ED2">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1" w15:restartNumberingAfterBreak="0">
    <w:nsid w:val="32FA5F7C"/>
    <w:multiLevelType w:val="hybridMultilevel"/>
    <w:tmpl w:val="35544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C22921"/>
    <w:multiLevelType w:val="hybridMultilevel"/>
    <w:tmpl w:val="6B82CB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857A1B"/>
    <w:multiLevelType w:val="hybridMultilevel"/>
    <w:tmpl w:val="55120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D72502"/>
    <w:multiLevelType w:val="hybridMultilevel"/>
    <w:tmpl w:val="8F809792"/>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3">
      <w:start w:val="1"/>
      <w:numFmt w:val="bullet"/>
      <w:lvlText w:val="o"/>
      <w:lvlJc w:val="left"/>
      <w:pPr>
        <w:ind w:left="2586" w:hanging="360"/>
      </w:pPr>
      <w:rPr>
        <w:rFonts w:ascii="Courier New" w:hAnsi="Courier New" w:cs="Courier New" w:hint="default"/>
      </w:rPr>
    </w:lvl>
    <w:lvl w:ilvl="3" w:tplc="08090005">
      <w:start w:val="1"/>
      <w:numFmt w:val="bullet"/>
      <w:lvlText w:val=""/>
      <w:lvlJc w:val="left"/>
      <w:pPr>
        <w:ind w:left="3306" w:hanging="360"/>
      </w:pPr>
      <w:rPr>
        <w:rFonts w:ascii="Wingdings" w:hAnsi="Wingdings"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5" w15:restartNumberingAfterBreak="0">
    <w:nsid w:val="45FA4402"/>
    <w:multiLevelType w:val="hybridMultilevel"/>
    <w:tmpl w:val="B86818B4"/>
    <w:lvl w:ilvl="0" w:tplc="1FFC5270">
      <w:start w:val="1"/>
      <w:numFmt w:val="decimal"/>
      <w:lvlText w:val="%1."/>
      <w:lvlJc w:val="left"/>
      <w:pPr>
        <w:ind w:left="720" w:hanging="360"/>
      </w:pPr>
      <w:rPr>
        <w:b/>
        <w:color w:val="DE8400"/>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72E7805"/>
    <w:multiLevelType w:val="hybridMultilevel"/>
    <w:tmpl w:val="4468C7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E0B3532"/>
    <w:multiLevelType w:val="hybridMultilevel"/>
    <w:tmpl w:val="7DB2A016"/>
    <w:lvl w:ilvl="0" w:tplc="DB76F2EA">
      <w:start w:val="1"/>
      <w:numFmt w:val="decimal"/>
      <w:lvlText w:val="%1."/>
      <w:lvlJc w:val="left"/>
      <w:pPr>
        <w:ind w:left="360" w:hanging="360"/>
      </w:pPr>
      <w:rPr>
        <w:b/>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5031CDC"/>
    <w:multiLevelType w:val="hybridMultilevel"/>
    <w:tmpl w:val="A95E06DE"/>
    <w:lvl w:ilvl="0" w:tplc="AE6E5F26">
      <w:start w:val="1"/>
      <w:numFmt w:val="decimal"/>
      <w:lvlText w:val="%1."/>
      <w:lvlJc w:val="left"/>
      <w:pPr>
        <w:ind w:left="720" w:hanging="360"/>
      </w:pPr>
      <w:rPr>
        <w:b/>
        <w:color w:val="DE8400"/>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B3302AF"/>
    <w:multiLevelType w:val="hybridMultilevel"/>
    <w:tmpl w:val="313E8F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0F7213E"/>
    <w:multiLevelType w:val="hybridMultilevel"/>
    <w:tmpl w:val="FEDCC548"/>
    <w:lvl w:ilvl="0" w:tplc="FA7E4384">
      <w:start w:val="1"/>
      <w:numFmt w:val="decimal"/>
      <w:lvlText w:val="(%1)"/>
      <w:lvlJc w:val="left"/>
      <w:pPr>
        <w:ind w:left="720" w:hanging="360"/>
      </w:pPr>
      <w:rPr>
        <w:rFonts w:ascii="Calibri" w:eastAsia="Calibri" w:hAnsi="Calibri" w:hint="default"/>
        <w:color w:val="auto"/>
        <w:sz w:val="1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65AA720E"/>
    <w:multiLevelType w:val="hybridMultilevel"/>
    <w:tmpl w:val="92B01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4816DB"/>
    <w:multiLevelType w:val="hybridMultilevel"/>
    <w:tmpl w:val="35544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9DB4ACF"/>
    <w:multiLevelType w:val="hybridMultilevel"/>
    <w:tmpl w:val="D3B2D87A"/>
    <w:lvl w:ilvl="0" w:tplc="08090011">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21"/>
  </w:num>
  <w:num w:numId="3">
    <w:abstractNumId w:val="13"/>
  </w:num>
  <w:num w:numId="4">
    <w:abstractNumId w:val="14"/>
  </w:num>
  <w:num w:numId="5">
    <w:abstractNumId w:val="18"/>
  </w:num>
  <w:num w:numId="6">
    <w:abstractNumId w:val="15"/>
  </w:num>
  <w:num w:numId="7">
    <w:abstractNumId w:val="11"/>
  </w:num>
  <w:num w:numId="8">
    <w:abstractNumId w:val="6"/>
  </w:num>
  <w:num w:numId="9">
    <w:abstractNumId w:val="20"/>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9"/>
  </w:num>
  <w:num w:numId="15">
    <w:abstractNumId w:val="12"/>
  </w:num>
  <w:num w:numId="16">
    <w:abstractNumId w:val="8"/>
  </w:num>
  <w:num w:numId="17">
    <w:abstractNumId w:val="2"/>
  </w:num>
  <w:num w:numId="18">
    <w:abstractNumId w:val="1"/>
  </w:num>
  <w:num w:numId="19">
    <w:abstractNumId w:val="0"/>
  </w:num>
  <w:num w:numId="20">
    <w:abstractNumId w:val="23"/>
  </w:num>
  <w:num w:numId="21">
    <w:abstractNumId w:val="16"/>
  </w:num>
  <w:num w:numId="22">
    <w:abstractNumId w:val="19"/>
  </w:num>
  <w:num w:numId="23">
    <w:abstractNumId w:val="4"/>
  </w:num>
  <w:num w:numId="24">
    <w:abstractNumId w:val="5"/>
    <w:lvlOverride w:ilvl="0">
      <w:startOverride w:val="1"/>
    </w:lvlOverride>
  </w:num>
  <w:num w:numId="25">
    <w:abstractNumId w:val="5"/>
  </w:num>
  <w:num w:numId="26">
    <w:abstractNumId w:val="5"/>
    <w:lvlOverride w:ilvl="0">
      <w:startOverride w:val="1"/>
    </w:lvlOverride>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8FE"/>
    <w:rsid w:val="00006B2D"/>
    <w:rsid w:val="00013E62"/>
    <w:rsid w:val="00022579"/>
    <w:rsid w:val="000261CA"/>
    <w:rsid w:val="000274B4"/>
    <w:rsid w:val="00034637"/>
    <w:rsid w:val="00040E92"/>
    <w:rsid w:val="00043B55"/>
    <w:rsid w:val="000509D8"/>
    <w:rsid w:val="00081745"/>
    <w:rsid w:val="00084787"/>
    <w:rsid w:val="00085D7C"/>
    <w:rsid w:val="00095C20"/>
    <w:rsid w:val="00096CFD"/>
    <w:rsid w:val="00097FC4"/>
    <w:rsid w:val="000A076A"/>
    <w:rsid w:val="000A0E95"/>
    <w:rsid w:val="000A667B"/>
    <w:rsid w:val="000B7E74"/>
    <w:rsid w:val="000C75A2"/>
    <w:rsid w:val="000D4483"/>
    <w:rsid w:val="000D60EE"/>
    <w:rsid w:val="000E4001"/>
    <w:rsid w:val="000F3434"/>
    <w:rsid w:val="0010242A"/>
    <w:rsid w:val="00112971"/>
    <w:rsid w:val="00132089"/>
    <w:rsid w:val="0013288F"/>
    <w:rsid w:val="001351AF"/>
    <w:rsid w:val="001457C4"/>
    <w:rsid w:val="001562A8"/>
    <w:rsid w:val="0016291A"/>
    <w:rsid w:val="001812DE"/>
    <w:rsid w:val="00181E69"/>
    <w:rsid w:val="001835C0"/>
    <w:rsid w:val="001A0C25"/>
    <w:rsid w:val="001A3F26"/>
    <w:rsid w:val="001A4BC6"/>
    <w:rsid w:val="001B7809"/>
    <w:rsid w:val="001C2287"/>
    <w:rsid w:val="001D3D2B"/>
    <w:rsid w:val="001D6F77"/>
    <w:rsid w:val="001E46CF"/>
    <w:rsid w:val="001E594E"/>
    <w:rsid w:val="001F36C9"/>
    <w:rsid w:val="002035EC"/>
    <w:rsid w:val="00204F22"/>
    <w:rsid w:val="002120A8"/>
    <w:rsid w:val="00213751"/>
    <w:rsid w:val="00223A2E"/>
    <w:rsid w:val="00224DE5"/>
    <w:rsid w:val="00240BAA"/>
    <w:rsid w:val="0024223B"/>
    <w:rsid w:val="00250941"/>
    <w:rsid w:val="00251570"/>
    <w:rsid w:val="0026115A"/>
    <w:rsid w:val="0026526F"/>
    <w:rsid w:val="00265A78"/>
    <w:rsid w:val="002730F6"/>
    <w:rsid w:val="00276AF3"/>
    <w:rsid w:val="00285D20"/>
    <w:rsid w:val="002A3701"/>
    <w:rsid w:val="002B39A0"/>
    <w:rsid w:val="002C0D5A"/>
    <w:rsid w:val="002D2008"/>
    <w:rsid w:val="002E1236"/>
    <w:rsid w:val="002E1FE8"/>
    <w:rsid w:val="002F2B58"/>
    <w:rsid w:val="002F6214"/>
    <w:rsid w:val="00302BAA"/>
    <w:rsid w:val="003124E0"/>
    <w:rsid w:val="00317BC6"/>
    <w:rsid w:val="003225BE"/>
    <w:rsid w:val="00323C2D"/>
    <w:rsid w:val="0033259C"/>
    <w:rsid w:val="0036216B"/>
    <w:rsid w:val="00376B53"/>
    <w:rsid w:val="00386DCA"/>
    <w:rsid w:val="00391E18"/>
    <w:rsid w:val="00395B17"/>
    <w:rsid w:val="003A21EC"/>
    <w:rsid w:val="003A2B26"/>
    <w:rsid w:val="003E2E10"/>
    <w:rsid w:val="003E351F"/>
    <w:rsid w:val="00401BDB"/>
    <w:rsid w:val="00403399"/>
    <w:rsid w:val="0041021A"/>
    <w:rsid w:val="00426554"/>
    <w:rsid w:val="00450295"/>
    <w:rsid w:val="00462474"/>
    <w:rsid w:val="004712DA"/>
    <w:rsid w:val="00476928"/>
    <w:rsid w:val="004871E1"/>
    <w:rsid w:val="00492370"/>
    <w:rsid w:val="00495E44"/>
    <w:rsid w:val="004A18F7"/>
    <w:rsid w:val="004A1B31"/>
    <w:rsid w:val="004A3071"/>
    <w:rsid w:val="004B112D"/>
    <w:rsid w:val="004B65C3"/>
    <w:rsid w:val="004C1BE7"/>
    <w:rsid w:val="004C51E5"/>
    <w:rsid w:val="004C7DBE"/>
    <w:rsid w:val="004E08F3"/>
    <w:rsid w:val="004E1600"/>
    <w:rsid w:val="004F5F6A"/>
    <w:rsid w:val="005046B7"/>
    <w:rsid w:val="00510A49"/>
    <w:rsid w:val="00511392"/>
    <w:rsid w:val="00524162"/>
    <w:rsid w:val="0053099A"/>
    <w:rsid w:val="00533E01"/>
    <w:rsid w:val="0053540D"/>
    <w:rsid w:val="00537CA3"/>
    <w:rsid w:val="00541745"/>
    <w:rsid w:val="00550675"/>
    <w:rsid w:val="0055168F"/>
    <w:rsid w:val="00551893"/>
    <w:rsid w:val="005539F8"/>
    <w:rsid w:val="00554F4D"/>
    <w:rsid w:val="00556A90"/>
    <w:rsid w:val="00556AD0"/>
    <w:rsid w:val="00583F2B"/>
    <w:rsid w:val="00584CCA"/>
    <w:rsid w:val="00591635"/>
    <w:rsid w:val="00592DED"/>
    <w:rsid w:val="005960A3"/>
    <w:rsid w:val="005A3EF7"/>
    <w:rsid w:val="005B3F4A"/>
    <w:rsid w:val="005C1661"/>
    <w:rsid w:val="005C6EE5"/>
    <w:rsid w:val="005E7373"/>
    <w:rsid w:val="005F0149"/>
    <w:rsid w:val="006015B1"/>
    <w:rsid w:val="006059D1"/>
    <w:rsid w:val="0061494B"/>
    <w:rsid w:val="006235B9"/>
    <w:rsid w:val="0062363C"/>
    <w:rsid w:val="006407EB"/>
    <w:rsid w:val="006440C5"/>
    <w:rsid w:val="00651B6F"/>
    <w:rsid w:val="006541C8"/>
    <w:rsid w:val="00656977"/>
    <w:rsid w:val="006578E9"/>
    <w:rsid w:val="0066081F"/>
    <w:rsid w:val="00660D90"/>
    <w:rsid w:val="0066267F"/>
    <w:rsid w:val="0066656D"/>
    <w:rsid w:val="0066663A"/>
    <w:rsid w:val="00683AD7"/>
    <w:rsid w:val="00692D18"/>
    <w:rsid w:val="006A0DEF"/>
    <w:rsid w:val="006A4A08"/>
    <w:rsid w:val="006A4F9B"/>
    <w:rsid w:val="006D4D9F"/>
    <w:rsid w:val="006D55BB"/>
    <w:rsid w:val="006E3E32"/>
    <w:rsid w:val="00703FBD"/>
    <w:rsid w:val="007100B7"/>
    <w:rsid w:val="00715FE0"/>
    <w:rsid w:val="00716156"/>
    <w:rsid w:val="00723A8A"/>
    <w:rsid w:val="00724AC0"/>
    <w:rsid w:val="00724E0B"/>
    <w:rsid w:val="00727069"/>
    <w:rsid w:val="00732C37"/>
    <w:rsid w:val="00743C04"/>
    <w:rsid w:val="00745851"/>
    <w:rsid w:val="00752754"/>
    <w:rsid w:val="007634C9"/>
    <w:rsid w:val="00763C03"/>
    <w:rsid w:val="007644FB"/>
    <w:rsid w:val="00775630"/>
    <w:rsid w:val="007845D7"/>
    <w:rsid w:val="007855FB"/>
    <w:rsid w:val="00787AB9"/>
    <w:rsid w:val="007930EA"/>
    <w:rsid w:val="0079392A"/>
    <w:rsid w:val="007A1E30"/>
    <w:rsid w:val="007A2EDC"/>
    <w:rsid w:val="007B34A9"/>
    <w:rsid w:val="007B3670"/>
    <w:rsid w:val="007B3C2A"/>
    <w:rsid w:val="007B7F06"/>
    <w:rsid w:val="007C24AB"/>
    <w:rsid w:val="007C7BDC"/>
    <w:rsid w:val="007D03DA"/>
    <w:rsid w:val="007E292C"/>
    <w:rsid w:val="007E303C"/>
    <w:rsid w:val="00804156"/>
    <w:rsid w:val="0083395F"/>
    <w:rsid w:val="00846C56"/>
    <w:rsid w:val="00854590"/>
    <w:rsid w:val="00872D3C"/>
    <w:rsid w:val="00875633"/>
    <w:rsid w:val="00876D22"/>
    <w:rsid w:val="00876E11"/>
    <w:rsid w:val="00890011"/>
    <w:rsid w:val="00895053"/>
    <w:rsid w:val="00896103"/>
    <w:rsid w:val="008A371D"/>
    <w:rsid w:val="008B5BEC"/>
    <w:rsid w:val="008C061B"/>
    <w:rsid w:val="008C56AB"/>
    <w:rsid w:val="008D1D6A"/>
    <w:rsid w:val="008D5238"/>
    <w:rsid w:val="008D7B95"/>
    <w:rsid w:val="008F651B"/>
    <w:rsid w:val="009105B3"/>
    <w:rsid w:val="00926914"/>
    <w:rsid w:val="00932B37"/>
    <w:rsid w:val="00932F5C"/>
    <w:rsid w:val="00934E80"/>
    <w:rsid w:val="00935FCF"/>
    <w:rsid w:val="009401AB"/>
    <w:rsid w:val="009421C2"/>
    <w:rsid w:val="00950FD1"/>
    <w:rsid w:val="0095327A"/>
    <w:rsid w:val="00956083"/>
    <w:rsid w:val="009607EA"/>
    <w:rsid w:val="00961F29"/>
    <w:rsid w:val="0099501D"/>
    <w:rsid w:val="009A0BC8"/>
    <w:rsid w:val="009A53AA"/>
    <w:rsid w:val="009B13C9"/>
    <w:rsid w:val="009B7FA3"/>
    <w:rsid w:val="009C2DB5"/>
    <w:rsid w:val="009E0C43"/>
    <w:rsid w:val="009F5A9A"/>
    <w:rsid w:val="00A013AE"/>
    <w:rsid w:val="00A15E21"/>
    <w:rsid w:val="00A160DD"/>
    <w:rsid w:val="00A26048"/>
    <w:rsid w:val="00A37FC8"/>
    <w:rsid w:val="00A419F4"/>
    <w:rsid w:val="00A42B3C"/>
    <w:rsid w:val="00A96686"/>
    <w:rsid w:val="00AA423D"/>
    <w:rsid w:val="00AA4A67"/>
    <w:rsid w:val="00AA5F7A"/>
    <w:rsid w:val="00AA7730"/>
    <w:rsid w:val="00AB0B14"/>
    <w:rsid w:val="00AB129E"/>
    <w:rsid w:val="00AB69A7"/>
    <w:rsid w:val="00AC48CC"/>
    <w:rsid w:val="00AC5CC9"/>
    <w:rsid w:val="00AE0002"/>
    <w:rsid w:val="00AE0617"/>
    <w:rsid w:val="00AE4F23"/>
    <w:rsid w:val="00AE7218"/>
    <w:rsid w:val="00AE7AD7"/>
    <w:rsid w:val="00AF6141"/>
    <w:rsid w:val="00AF7B71"/>
    <w:rsid w:val="00B01FE6"/>
    <w:rsid w:val="00B17B60"/>
    <w:rsid w:val="00B31ECB"/>
    <w:rsid w:val="00B35B12"/>
    <w:rsid w:val="00B47776"/>
    <w:rsid w:val="00B5053E"/>
    <w:rsid w:val="00B5349D"/>
    <w:rsid w:val="00B67D2E"/>
    <w:rsid w:val="00B72423"/>
    <w:rsid w:val="00B7304B"/>
    <w:rsid w:val="00B90D7E"/>
    <w:rsid w:val="00B937C7"/>
    <w:rsid w:val="00BA3DCF"/>
    <w:rsid w:val="00BA6046"/>
    <w:rsid w:val="00BB23F9"/>
    <w:rsid w:val="00BB573E"/>
    <w:rsid w:val="00BD0D33"/>
    <w:rsid w:val="00BD3C26"/>
    <w:rsid w:val="00BD7024"/>
    <w:rsid w:val="00BE4165"/>
    <w:rsid w:val="00C005DE"/>
    <w:rsid w:val="00C11322"/>
    <w:rsid w:val="00C125DC"/>
    <w:rsid w:val="00C160C3"/>
    <w:rsid w:val="00C2058B"/>
    <w:rsid w:val="00C20BEF"/>
    <w:rsid w:val="00C2626B"/>
    <w:rsid w:val="00C40B15"/>
    <w:rsid w:val="00C41F85"/>
    <w:rsid w:val="00C47254"/>
    <w:rsid w:val="00C60E24"/>
    <w:rsid w:val="00C660D5"/>
    <w:rsid w:val="00CB3A82"/>
    <w:rsid w:val="00CC7C2E"/>
    <w:rsid w:val="00CD04A8"/>
    <w:rsid w:val="00CD1081"/>
    <w:rsid w:val="00CE7C23"/>
    <w:rsid w:val="00D00178"/>
    <w:rsid w:val="00D018BC"/>
    <w:rsid w:val="00D101E0"/>
    <w:rsid w:val="00D263AC"/>
    <w:rsid w:val="00D35D56"/>
    <w:rsid w:val="00D36915"/>
    <w:rsid w:val="00D40E7A"/>
    <w:rsid w:val="00D616C3"/>
    <w:rsid w:val="00D64374"/>
    <w:rsid w:val="00D65C83"/>
    <w:rsid w:val="00D73235"/>
    <w:rsid w:val="00D875A3"/>
    <w:rsid w:val="00D950AE"/>
    <w:rsid w:val="00D95941"/>
    <w:rsid w:val="00D96D90"/>
    <w:rsid w:val="00DA5B7C"/>
    <w:rsid w:val="00DB2EDB"/>
    <w:rsid w:val="00DB5C76"/>
    <w:rsid w:val="00DB6E70"/>
    <w:rsid w:val="00DD3FCB"/>
    <w:rsid w:val="00DD4BCC"/>
    <w:rsid w:val="00DD4D8C"/>
    <w:rsid w:val="00DD6BF0"/>
    <w:rsid w:val="00DD7D35"/>
    <w:rsid w:val="00DE5FB0"/>
    <w:rsid w:val="00DF0E6B"/>
    <w:rsid w:val="00DF134A"/>
    <w:rsid w:val="00DF60AA"/>
    <w:rsid w:val="00E202E7"/>
    <w:rsid w:val="00E26DAD"/>
    <w:rsid w:val="00E30C95"/>
    <w:rsid w:val="00E31BF6"/>
    <w:rsid w:val="00E45F02"/>
    <w:rsid w:val="00E56705"/>
    <w:rsid w:val="00E56D45"/>
    <w:rsid w:val="00E57463"/>
    <w:rsid w:val="00E652BD"/>
    <w:rsid w:val="00E73205"/>
    <w:rsid w:val="00E94ABB"/>
    <w:rsid w:val="00E962EB"/>
    <w:rsid w:val="00EA303D"/>
    <w:rsid w:val="00EA6481"/>
    <w:rsid w:val="00EA7097"/>
    <w:rsid w:val="00EC74AD"/>
    <w:rsid w:val="00ED41F8"/>
    <w:rsid w:val="00EE3BB7"/>
    <w:rsid w:val="00EF761E"/>
    <w:rsid w:val="00F006ED"/>
    <w:rsid w:val="00F15771"/>
    <w:rsid w:val="00F34061"/>
    <w:rsid w:val="00F34F1F"/>
    <w:rsid w:val="00F5594F"/>
    <w:rsid w:val="00F57824"/>
    <w:rsid w:val="00F628FE"/>
    <w:rsid w:val="00F71E16"/>
    <w:rsid w:val="00F8120B"/>
    <w:rsid w:val="00F939F3"/>
    <w:rsid w:val="00F95BE9"/>
    <w:rsid w:val="00FA4BBC"/>
    <w:rsid w:val="00FB5CBD"/>
    <w:rsid w:val="00FB622A"/>
    <w:rsid w:val="00FB7698"/>
    <w:rsid w:val="00FC4C0B"/>
    <w:rsid w:val="00FC77C9"/>
    <w:rsid w:val="00FF59E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73C5D8C"/>
  <w14:defaultImageDpi w14:val="300"/>
  <w15:docId w15:val="{152460FF-D3DF-4A80-84D4-196AB5623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1081"/>
  </w:style>
  <w:style w:type="paragraph" w:styleId="Heading1">
    <w:name w:val="heading 1"/>
    <w:basedOn w:val="Normal"/>
    <w:next w:val="Normal"/>
    <w:link w:val="Heading1Char"/>
    <w:uiPriority w:val="9"/>
    <w:qFormat/>
    <w:rsid w:val="00BD0D33"/>
    <w:pPr>
      <w:keepNext/>
      <w:keepLines/>
      <w:numPr>
        <w:numId w:val="13"/>
      </w:numPr>
      <w:spacing w:before="240"/>
      <w:outlineLvl w:val="0"/>
    </w:pPr>
    <w:rPr>
      <w:rFonts w:asciiTheme="majorHAnsi" w:eastAsiaTheme="majorEastAsia" w:hAnsiTheme="majorHAnsi" w:cstheme="majorBidi"/>
      <w:b/>
      <w:color w:val="DE840A"/>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2DB5"/>
    <w:pPr>
      <w:tabs>
        <w:tab w:val="center" w:pos="4536"/>
        <w:tab w:val="right" w:pos="9072"/>
      </w:tabs>
    </w:pPr>
  </w:style>
  <w:style w:type="character" w:customStyle="1" w:styleId="HeaderChar">
    <w:name w:val="Header Char"/>
    <w:basedOn w:val="DefaultParagraphFont"/>
    <w:link w:val="Header"/>
    <w:uiPriority w:val="99"/>
    <w:rsid w:val="009C2DB5"/>
  </w:style>
  <w:style w:type="paragraph" w:styleId="Footer">
    <w:name w:val="footer"/>
    <w:basedOn w:val="Normal"/>
    <w:link w:val="FooterChar"/>
    <w:uiPriority w:val="99"/>
    <w:unhideWhenUsed/>
    <w:rsid w:val="009C2DB5"/>
    <w:pPr>
      <w:tabs>
        <w:tab w:val="center" w:pos="4536"/>
        <w:tab w:val="right" w:pos="9072"/>
      </w:tabs>
    </w:pPr>
  </w:style>
  <w:style w:type="character" w:customStyle="1" w:styleId="FooterChar">
    <w:name w:val="Footer Char"/>
    <w:basedOn w:val="DefaultParagraphFont"/>
    <w:link w:val="Footer"/>
    <w:uiPriority w:val="99"/>
    <w:rsid w:val="009C2DB5"/>
  </w:style>
  <w:style w:type="paragraph" w:styleId="BalloonText">
    <w:name w:val="Balloon Text"/>
    <w:basedOn w:val="Normal"/>
    <w:link w:val="BalloonTextChar"/>
    <w:uiPriority w:val="99"/>
    <w:semiHidden/>
    <w:unhideWhenUsed/>
    <w:rsid w:val="009C2DB5"/>
    <w:rPr>
      <w:rFonts w:ascii="Lucida Grande" w:hAnsi="Lucida Grande"/>
      <w:sz w:val="18"/>
      <w:szCs w:val="18"/>
    </w:rPr>
  </w:style>
  <w:style w:type="character" w:customStyle="1" w:styleId="BalloonTextChar">
    <w:name w:val="Balloon Text Char"/>
    <w:basedOn w:val="DefaultParagraphFont"/>
    <w:link w:val="BalloonText"/>
    <w:uiPriority w:val="99"/>
    <w:semiHidden/>
    <w:rsid w:val="009C2DB5"/>
    <w:rPr>
      <w:rFonts w:ascii="Lucida Grande" w:hAnsi="Lucida Grande"/>
      <w:sz w:val="18"/>
      <w:szCs w:val="18"/>
    </w:rPr>
  </w:style>
  <w:style w:type="character" w:styleId="Hyperlink">
    <w:name w:val="Hyperlink"/>
    <w:basedOn w:val="DefaultParagraphFont"/>
    <w:uiPriority w:val="99"/>
    <w:unhideWhenUsed/>
    <w:rsid w:val="00401BDB"/>
    <w:rPr>
      <w:color w:val="0000FF" w:themeColor="hyperlink"/>
      <w:u w:val="single"/>
    </w:rPr>
  </w:style>
  <w:style w:type="paragraph" w:styleId="ListParagraph">
    <w:name w:val="List Paragraph"/>
    <w:basedOn w:val="Normal"/>
    <w:link w:val="ListParagraphChar"/>
    <w:uiPriority w:val="34"/>
    <w:qFormat/>
    <w:rsid w:val="00F628FE"/>
    <w:pPr>
      <w:ind w:left="720"/>
      <w:contextualSpacing/>
    </w:pPr>
  </w:style>
  <w:style w:type="table" w:styleId="TableGrid">
    <w:name w:val="Table Grid"/>
    <w:basedOn w:val="TableNormal"/>
    <w:uiPriority w:val="39"/>
    <w:rsid w:val="007C7B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int0number">
    <w:name w:val="Point 0 (number)"/>
    <w:basedOn w:val="Normal"/>
    <w:rsid w:val="00854590"/>
    <w:pPr>
      <w:numPr>
        <w:numId w:val="10"/>
      </w:numPr>
      <w:spacing w:before="120" w:after="120"/>
      <w:jc w:val="both"/>
    </w:pPr>
    <w:rPr>
      <w:rFonts w:ascii="Times New Roman" w:eastAsiaTheme="minorHAnsi" w:hAnsi="Times New Roman" w:cs="Times New Roman"/>
      <w:szCs w:val="22"/>
      <w:lang w:val="en-GB" w:eastAsia="en-US"/>
    </w:rPr>
  </w:style>
  <w:style w:type="paragraph" w:customStyle="1" w:styleId="Point1number">
    <w:name w:val="Point 1 (number)"/>
    <w:basedOn w:val="Normal"/>
    <w:rsid w:val="00854590"/>
    <w:pPr>
      <w:numPr>
        <w:ilvl w:val="2"/>
        <w:numId w:val="10"/>
      </w:numPr>
      <w:spacing w:before="120" w:after="120"/>
      <w:jc w:val="both"/>
    </w:pPr>
    <w:rPr>
      <w:rFonts w:ascii="Times New Roman" w:eastAsiaTheme="minorHAnsi" w:hAnsi="Times New Roman" w:cs="Times New Roman"/>
      <w:szCs w:val="22"/>
      <w:lang w:val="en-GB" w:eastAsia="en-US"/>
    </w:rPr>
  </w:style>
  <w:style w:type="paragraph" w:customStyle="1" w:styleId="Point2number">
    <w:name w:val="Point 2 (number)"/>
    <w:basedOn w:val="Normal"/>
    <w:rsid w:val="00854590"/>
    <w:pPr>
      <w:numPr>
        <w:ilvl w:val="4"/>
        <w:numId w:val="10"/>
      </w:numPr>
      <w:spacing w:before="120" w:after="120"/>
      <w:jc w:val="both"/>
    </w:pPr>
    <w:rPr>
      <w:rFonts w:ascii="Times New Roman" w:eastAsiaTheme="minorHAnsi" w:hAnsi="Times New Roman" w:cs="Times New Roman"/>
      <w:szCs w:val="22"/>
      <w:lang w:val="en-GB" w:eastAsia="en-US"/>
    </w:rPr>
  </w:style>
  <w:style w:type="paragraph" w:customStyle="1" w:styleId="Point3number">
    <w:name w:val="Point 3 (number)"/>
    <w:basedOn w:val="Normal"/>
    <w:rsid w:val="00854590"/>
    <w:pPr>
      <w:numPr>
        <w:ilvl w:val="6"/>
        <w:numId w:val="10"/>
      </w:numPr>
      <w:spacing w:before="120" w:after="120"/>
      <w:jc w:val="both"/>
    </w:pPr>
    <w:rPr>
      <w:rFonts w:ascii="Times New Roman" w:eastAsiaTheme="minorHAnsi" w:hAnsi="Times New Roman" w:cs="Times New Roman"/>
      <w:szCs w:val="22"/>
      <w:lang w:val="en-GB" w:eastAsia="en-US"/>
    </w:rPr>
  </w:style>
  <w:style w:type="paragraph" w:customStyle="1" w:styleId="Point0letter">
    <w:name w:val="Point 0 (letter)"/>
    <w:basedOn w:val="Normal"/>
    <w:rsid w:val="00854590"/>
    <w:pPr>
      <w:numPr>
        <w:ilvl w:val="1"/>
        <w:numId w:val="10"/>
      </w:numPr>
      <w:spacing w:before="120" w:after="120"/>
      <w:jc w:val="both"/>
    </w:pPr>
    <w:rPr>
      <w:rFonts w:ascii="Times New Roman" w:eastAsiaTheme="minorHAnsi" w:hAnsi="Times New Roman" w:cs="Times New Roman"/>
      <w:szCs w:val="22"/>
      <w:lang w:val="en-GB" w:eastAsia="en-US"/>
    </w:rPr>
  </w:style>
  <w:style w:type="paragraph" w:customStyle="1" w:styleId="Point1letter">
    <w:name w:val="Point 1 (letter)"/>
    <w:basedOn w:val="Normal"/>
    <w:rsid w:val="00854590"/>
    <w:pPr>
      <w:numPr>
        <w:ilvl w:val="3"/>
        <w:numId w:val="10"/>
      </w:numPr>
      <w:spacing w:before="120" w:after="120"/>
      <w:jc w:val="both"/>
    </w:pPr>
    <w:rPr>
      <w:rFonts w:ascii="Times New Roman" w:eastAsiaTheme="minorHAnsi" w:hAnsi="Times New Roman" w:cs="Times New Roman"/>
      <w:szCs w:val="22"/>
      <w:lang w:val="en-GB" w:eastAsia="en-US"/>
    </w:rPr>
  </w:style>
  <w:style w:type="paragraph" w:customStyle="1" w:styleId="Point2letter">
    <w:name w:val="Point 2 (letter)"/>
    <w:basedOn w:val="Normal"/>
    <w:rsid w:val="00854590"/>
    <w:pPr>
      <w:numPr>
        <w:ilvl w:val="5"/>
        <w:numId w:val="10"/>
      </w:numPr>
      <w:spacing w:before="120" w:after="120"/>
      <w:jc w:val="both"/>
    </w:pPr>
    <w:rPr>
      <w:rFonts w:ascii="Times New Roman" w:eastAsiaTheme="minorHAnsi" w:hAnsi="Times New Roman" w:cs="Times New Roman"/>
      <w:szCs w:val="22"/>
      <w:lang w:val="en-GB" w:eastAsia="en-US"/>
    </w:rPr>
  </w:style>
  <w:style w:type="paragraph" w:customStyle="1" w:styleId="Point3letter">
    <w:name w:val="Point 3 (letter)"/>
    <w:basedOn w:val="Normal"/>
    <w:rsid w:val="00854590"/>
    <w:pPr>
      <w:numPr>
        <w:ilvl w:val="7"/>
        <w:numId w:val="10"/>
      </w:numPr>
      <w:spacing w:before="120" w:after="120"/>
      <w:jc w:val="both"/>
    </w:pPr>
    <w:rPr>
      <w:rFonts w:ascii="Times New Roman" w:eastAsiaTheme="minorHAnsi" w:hAnsi="Times New Roman" w:cs="Times New Roman"/>
      <w:szCs w:val="22"/>
      <w:lang w:val="en-GB" w:eastAsia="en-US"/>
    </w:rPr>
  </w:style>
  <w:style w:type="paragraph" w:customStyle="1" w:styleId="Point4letter">
    <w:name w:val="Point 4 (letter)"/>
    <w:basedOn w:val="Normal"/>
    <w:rsid w:val="00854590"/>
    <w:pPr>
      <w:numPr>
        <w:ilvl w:val="8"/>
        <w:numId w:val="10"/>
      </w:numPr>
      <w:spacing w:before="120" w:after="120"/>
      <w:jc w:val="both"/>
    </w:pPr>
    <w:rPr>
      <w:rFonts w:ascii="Times New Roman" w:eastAsiaTheme="minorHAnsi" w:hAnsi="Times New Roman" w:cs="Times New Roman"/>
      <w:szCs w:val="22"/>
      <w:lang w:val="en-GB" w:eastAsia="en-US"/>
    </w:rPr>
  </w:style>
  <w:style w:type="paragraph" w:customStyle="1" w:styleId="Default">
    <w:name w:val="Default"/>
    <w:rsid w:val="004A1B31"/>
    <w:pPr>
      <w:autoSpaceDE w:val="0"/>
      <w:autoSpaceDN w:val="0"/>
      <w:adjustRightInd w:val="0"/>
    </w:pPr>
    <w:rPr>
      <w:rFonts w:ascii="Times New Roman" w:eastAsia="Times New Roman" w:hAnsi="Times New Roman" w:cs="Times New Roman"/>
      <w:color w:val="000000"/>
      <w:lang w:val="it-IT" w:eastAsia="it-IT"/>
    </w:rPr>
  </w:style>
  <w:style w:type="character" w:customStyle="1" w:styleId="shorttext">
    <w:name w:val="short_text"/>
    <w:basedOn w:val="DefaultParagraphFont"/>
    <w:rsid w:val="00013E62"/>
  </w:style>
  <w:style w:type="paragraph" w:styleId="PlainText">
    <w:name w:val="Plain Text"/>
    <w:basedOn w:val="Normal"/>
    <w:link w:val="PlainTextChar"/>
    <w:uiPriority w:val="99"/>
    <w:semiHidden/>
    <w:unhideWhenUsed/>
    <w:rsid w:val="00013E62"/>
    <w:rPr>
      <w:rFonts w:ascii="Calibri" w:eastAsiaTheme="minorHAnsi" w:hAnsi="Calibri"/>
      <w:sz w:val="22"/>
      <w:szCs w:val="21"/>
      <w:lang w:val="sv-SE" w:eastAsia="en-US"/>
    </w:rPr>
  </w:style>
  <w:style w:type="character" w:customStyle="1" w:styleId="PlainTextChar">
    <w:name w:val="Plain Text Char"/>
    <w:basedOn w:val="DefaultParagraphFont"/>
    <w:link w:val="PlainText"/>
    <w:uiPriority w:val="99"/>
    <w:semiHidden/>
    <w:rsid w:val="00013E62"/>
    <w:rPr>
      <w:rFonts w:ascii="Calibri" w:eastAsiaTheme="minorHAnsi" w:hAnsi="Calibri"/>
      <w:sz w:val="22"/>
      <w:szCs w:val="21"/>
      <w:lang w:val="sv-SE" w:eastAsia="en-US"/>
    </w:rPr>
  </w:style>
  <w:style w:type="paragraph" w:styleId="FootnoteText">
    <w:name w:val="footnote text"/>
    <w:basedOn w:val="Normal"/>
    <w:link w:val="FootnoteTextChar"/>
    <w:uiPriority w:val="99"/>
    <w:semiHidden/>
    <w:unhideWhenUsed/>
    <w:rsid w:val="00F71E16"/>
    <w:rPr>
      <w:sz w:val="20"/>
      <w:szCs w:val="20"/>
    </w:rPr>
  </w:style>
  <w:style w:type="character" w:customStyle="1" w:styleId="FootnoteTextChar">
    <w:name w:val="Footnote Text Char"/>
    <w:basedOn w:val="DefaultParagraphFont"/>
    <w:link w:val="FootnoteText"/>
    <w:uiPriority w:val="99"/>
    <w:semiHidden/>
    <w:rsid w:val="00F71E16"/>
    <w:rPr>
      <w:sz w:val="20"/>
      <w:szCs w:val="20"/>
    </w:rPr>
  </w:style>
  <w:style w:type="character" w:styleId="FootnoteReference">
    <w:name w:val="footnote reference"/>
    <w:basedOn w:val="DefaultParagraphFont"/>
    <w:uiPriority w:val="99"/>
    <w:semiHidden/>
    <w:unhideWhenUsed/>
    <w:rsid w:val="00F71E16"/>
    <w:rPr>
      <w:vertAlign w:val="superscript"/>
    </w:rPr>
  </w:style>
  <w:style w:type="character" w:styleId="CommentReference">
    <w:name w:val="annotation reference"/>
    <w:basedOn w:val="DefaultParagraphFont"/>
    <w:uiPriority w:val="99"/>
    <w:semiHidden/>
    <w:unhideWhenUsed/>
    <w:rsid w:val="007A2EDC"/>
    <w:rPr>
      <w:sz w:val="16"/>
      <w:szCs w:val="16"/>
    </w:rPr>
  </w:style>
  <w:style w:type="paragraph" w:styleId="CommentText">
    <w:name w:val="annotation text"/>
    <w:basedOn w:val="Normal"/>
    <w:link w:val="CommentTextChar"/>
    <w:uiPriority w:val="99"/>
    <w:semiHidden/>
    <w:unhideWhenUsed/>
    <w:rsid w:val="007A2EDC"/>
    <w:rPr>
      <w:sz w:val="20"/>
      <w:szCs w:val="20"/>
    </w:rPr>
  </w:style>
  <w:style w:type="character" w:customStyle="1" w:styleId="CommentTextChar">
    <w:name w:val="Comment Text Char"/>
    <w:basedOn w:val="DefaultParagraphFont"/>
    <w:link w:val="CommentText"/>
    <w:uiPriority w:val="99"/>
    <w:semiHidden/>
    <w:rsid w:val="007A2EDC"/>
    <w:rPr>
      <w:sz w:val="20"/>
      <w:szCs w:val="20"/>
    </w:rPr>
  </w:style>
  <w:style w:type="paragraph" w:styleId="CommentSubject">
    <w:name w:val="annotation subject"/>
    <w:basedOn w:val="CommentText"/>
    <w:next w:val="CommentText"/>
    <w:link w:val="CommentSubjectChar"/>
    <w:uiPriority w:val="99"/>
    <w:semiHidden/>
    <w:unhideWhenUsed/>
    <w:rsid w:val="007A2EDC"/>
    <w:rPr>
      <w:b/>
      <w:bCs/>
    </w:rPr>
  </w:style>
  <w:style w:type="character" w:customStyle="1" w:styleId="CommentSubjectChar">
    <w:name w:val="Comment Subject Char"/>
    <w:basedOn w:val="CommentTextChar"/>
    <w:link w:val="CommentSubject"/>
    <w:uiPriority w:val="99"/>
    <w:semiHidden/>
    <w:rsid w:val="007A2EDC"/>
    <w:rPr>
      <w:b/>
      <w:bCs/>
      <w:sz w:val="20"/>
      <w:szCs w:val="20"/>
    </w:rPr>
  </w:style>
  <w:style w:type="character" w:customStyle="1" w:styleId="Heading1Char">
    <w:name w:val="Heading 1 Char"/>
    <w:basedOn w:val="DefaultParagraphFont"/>
    <w:link w:val="Heading1"/>
    <w:uiPriority w:val="9"/>
    <w:rsid w:val="00BD0D33"/>
    <w:rPr>
      <w:rFonts w:asciiTheme="majorHAnsi" w:eastAsiaTheme="majorEastAsia" w:hAnsiTheme="majorHAnsi" w:cstheme="majorBidi"/>
      <w:b/>
      <w:color w:val="DE840A"/>
      <w:szCs w:val="32"/>
      <w:lang w:val="en-GB"/>
    </w:rPr>
  </w:style>
  <w:style w:type="character" w:styleId="UnresolvedMention">
    <w:name w:val="Unresolved Mention"/>
    <w:basedOn w:val="DefaultParagraphFont"/>
    <w:uiPriority w:val="99"/>
    <w:semiHidden/>
    <w:unhideWhenUsed/>
    <w:rsid w:val="002A3701"/>
    <w:rPr>
      <w:color w:val="808080"/>
      <w:shd w:val="clear" w:color="auto" w:fill="E6E6E6"/>
    </w:rPr>
  </w:style>
  <w:style w:type="paragraph" w:customStyle="1" w:styleId="Style1">
    <w:name w:val="Style1"/>
    <w:basedOn w:val="ListParagraph"/>
    <w:next w:val="Heading1"/>
    <w:link w:val="Style1Char"/>
    <w:qFormat/>
    <w:rsid w:val="002A3701"/>
    <w:pPr>
      <w:ind w:hanging="360"/>
    </w:pPr>
    <w:rPr>
      <w:rFonts w:asciiTheme="majorHAnsi" w:hAnsiTheme="majorHAnsi" w:cstheme="majorHAnsi"/>
      <w:b/>
      <w:color w:val="DE8400"/>
      <w:lang w:val="en-GB"/>
    </w:rPr>
  </w:style>
  <w:style w:type="character" w:styleId="FollowedHyperlink">
    <w:name w:val="FollowedHyperlink"/>
    <w:basedOn w:val="DefaultParagraphFont"/>
    <w:uiPriority w:val="99"/>
    <w:semiHidden/>
    <w:unhideWhenUsed/>
    <w:rsid w:val="007855FB"/>
    <w:rPr>
      <w:color w:val="800080" w:themeColor="followedHyperlink"/>
      <w:u w:val="single"/>
    </w:rPr>
  </w:style>
  <w:style w:type="character" w:customStyle="1" w:styleId="ListParagraphChar">
    <w:name w:val="List Paragraph Char"/>
    <w:basedOn w:val="DefaultParagraphFont"/>
    <w:link w:val="ListParagraph"/>
    <w:uiPriority w:val="34"/>
    <w:rsid w:val="002A3701"/>
  </w:style>
  <w:style w:type="character" w:customStyle="1" w:styleId="Style1Char">
    <w:name w:val="Style1 Char"/>
    <w:basedOn w:val="ListParagraphChar"/>
    <w:link w:val="Style1"/>
    <w:rsid w:val="002A3701"/>
    <w:rPr>
      <w:rFonts w:asciiTheme="majorHAnsi" w:hAnsiTheme="majorHAnsi" w:cstheme="majorHAnsi"/>
      <w:b/>
      <w:color w:val="DE8400"/>
      <w:lang w:val="en-GB"/>
    </w:rPr>
  </w:style>
  <w:style w:type="table" w:customStyle="1" w:styleId="TableGrid1">
    <w:name w:val="Table Grid1"/>
    <w:basedOn w:val="TableNormal"/>
    <w:next w:val="TableGrid"/>
    <w:uiPriority w:val="39"/>
    <w:rsid w:val="0013288F"/>
    <w:rPr>
      <w:rFonts w:eastAsia="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5594F"/>
    <w:pPr>
      <w:tabs>
        <w:tab w:val="left" w:pos="4067"/>
      </w:tabs>
      <w:ind w:right="140"/>
      <w:jc w:val="center"/>
    </w:pPr>
    <w:rPr>
      <w:rFonts w:asciiTheme="majorHAnsi" w:hAnsiTheme="majorHAnsi" w:cstheme="majorHAnsi"/>
      <w:b/>
      <w:color w:val="DE8400"/>
      <w:sz w:val="44"/>
      <w:szCs w:val="44"/>
      <w:lang w:val="en-GB"/>
    </w:rPr>
  </w:style>
  <w:style w:type="character" w:customStyle="1" w:styleId="TitleChar">
    <w:name w:val="Title Char"/>
    <w:basedOn w:val="DefaultParagraphFont"/>
    <w:link w:val="Title"/>
    <w:uiPriority w:val="10"/>
    <w:rsid w:val="00F5594F"/>
    <w:rPr>
      <w:rFonts w:asciiTheme="majorHAnsi" w:hAnsiTheme="majorHAnsi" w:cstheme="majorHAnsi"/>
      <w:b/>
      <w:color w:val="DE8400"/>
      <w:sz w:val="44"/>
      <w:szCs w:val="44"/>
      <w:lang w:val="en-GB"/>
    </w:rPr>
  </w:style>
  <w:style w:type="paragraph" w:styleId="Subtitle">
    <w:name w:val="Subtitle"/>
    <w:basedOn w:val="Normal"/>
    <w:next w:val="Normal"/>
    <w:link w:val="SubtitleChar"/>
    <w:uiPriority w:val="11"/>
    <w:qFormat/>
    <w:rsid w:val="00F5594F"/>
    <w:pPr>
      <w:tabs>
        <w:tab w:val="left" w:pos="4067"/>
      </w:tabs>
      <w:ind w:right="140"/>
      <w:jc w:val="center"/>
    </w:pPr>
    <w:rPr>
      <w:rFonts w:asciiTheme="majorHAnsi" w:hAnsiTheme="majorHAnsi" w:cstheme="majorHAnsi"/>
      <w:b/>
      <w:i/>
      <w:color w:val="000000" w:themeColor="text1"/>
      <w:sz w:val="32"/>
      <w:szCs w:val="28"/>
      <w:lang w:val="en-GB"/>
    </w:rPr>
  </w:style>
  <w:style w:type="character" w:customStyle="1" w:styleId="SubtitleChar">
    <w:name w:val="Subtitle Char"/>
    <w:basedOn w:val="DefaultParagraphFont"/>
    <w:link w:val="Subtitle"/>
    <w:uiPriority w:val="11"/>
    <w:rsid w:val="00F5594F"/>
    <w:rPr>
      <w:rFonts w:asciiTheme="majorHAnsi" w:hAnsiTheme="majorHAnsi" w:cstheme="majorHAnsi"/>
      <w:b/>
      <w:i/>
      <w:color w:val="000000" w:themeColor="text1"/>
      <w:sz w:val="32"/>
      <w:szCs w:val="28"/>
      <w:lang w:val="en-GB"/>
    </w:rPr>
  </w:style>
  <w:style w:type="character" w:customStyle="1" w:styleId="bumpedfont20">
    <w:name w:val="bumpedfont20"/>
    <w:basedOn w:val="DefaultParagraphFont"/>
    <w:rsid w:val="001D3D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52543">
      <w:bodyDiv w:val="1"/>
      <w:marLeft w:val="0"/>
      <w:marRight w:val="0"/>
      <w:marTop w:val="0"/>
      <w:marBottom w:val="0"/>
      <w:divBdr>
        <w:top w:val="none" w:sz="0" w:space="0" w:color="auto"/>
        <w:left w:val="none" w:sz="0" w:space="0" w:color="auto"/>
        <w:bottom w:val="none" w:sz="0" w:space="0" w:color="auto"/>
        <w:right w:val="none" w:sz="0" w:space="0" w:color="auto"/>
      </w:divBdr>
    </w:div>
    <w:div w:id="46757536">
      <w:bodyDiv w:val="1"/>
      <w:marLeft w:val="0"/>
      <w:marRight w:val="0"/>
      <w:marTop w:val="0"/>
      <w:marBottom w:val="0"/>
      <w:divBdr>
        <w:top w:val="none" w:sz="0" w:space="0" w:color="auto"/>
        <w:left w:val="none" w:sz="0" w:space="0" w:color="auto"/>
        <w:bottom w:val="none" w:sz="0" w:space="0" w:color="auto"/>
        <w:right w:val="none" w:sz="0" w:space="0" w:color="auto"/>
      </w:divBdr>
    </w:div>
    <w:div w:id="63383482">
      <w:bodyDiv w:val="1"/>
      <w:marLeft w:val="0"/>
      <w:marRight w:val="0"/>
      <w:marTop w:val="0"/>
      <w:marBottom w:val="0"/>
      <w:divBdr>
        <w:top w:val="none" w:sz="0" w:space="0" w:color="auto"/>
        <w:left w:val="none" w:sz="0" w:space="0" w:color="auto"/>
        <w:bottom w:val="none" w:sz="0" w:space="0" w:color="auto"/>
        <w:right w:val="none" w:sz="0" w:space="0" w:color="auto"/>
      </w:divBdr>
    </w:div>
    <w:div w:id="132598276">
      <w:bodyDiv w:val="1"/>
      <w:marLeft w:val="0"/>
      <w:marRight w:val="0"/>
      <w:marTop w:val="0"/>
      <w:marBottom w:val="0"/>
      <w:divBdr>
        <w:top w:val="none" w:sz="0" w:space="0" w:color="auto"/>
        <w:left w:val="none" w:sz="0" w:space="0" w:color="auto"/>
        <w:bottom w:val="none" w:sz="0" w:space="0" w:color="auto"/>
        <w:right w:val="none" w:sz="0" w:space="0" w:color="auto"/>
      </w:divBdr>
    </w:div>
    <w:div w:id="146630828">
      <w:bodyDiv w:val="1"/>
      <w:marLeft w:val="0"/>
      <w:marRight w:val="0"/>
      <w:marTop w:val="0"/>
      <w:marBottom w:val="0"/>
      <w:divBdr>
        <w:top w:val="none" w:sz="0" w:space="0" w:color="auto"/>
        <w:left w:val="none" w:sz="0" w:space="0" w:color="auto"/>
        <w:bottom w:val="none" w:sz="0" w:space="0" w:color="auto"/>
        <w:right w:val="none" w:sz="0" w:space="0" w:color="auto"/>
      </w:divBdr>
    </w:div>
    <w:div w:id="184901176">
      <w:bodyDiv w:val="1"/>
      <w:marLeft w:val="0"/>
      <w:marRight w:val="0"/>
      <w:marTop w:val="0"/>
      <w:marBottom w:val="0"/>
      <w:divBdr>
        <w:top w:val="none" w:sz="0" w:space="0" w:color="auto"/>
        <w:left w:val="none" w:sz="0" w:space="0" w:color="auto"/>
        <w:bottom w:val="none" w:sz="0" w:space="0" w:color="auto"/>
        <w:right w:val="none" w:sz="0" w:space="0" w:color="auto"/>
      </w:divBdr>
    </w:div>
    <w:div w:id="198711836">
      <w:bodyDiv w:val="1"/>
      <w:marLeft w:val="0"/>
      <w:marRight w:val="0"/>
      <w:marTop w:val="0"/>
      <w:marBottom w:val="0"/>
      <w:divBdr>
        <w:top w:val="none" w:sz="0" w:space="0" w:color="auto"/>
        <w:left w:val="none" w:sz="0" w:space="0" w:color="auto"/>
        <w:bottom w:val="none" w:sz="0" w:space="0" w:color="auto"/>
        <w:right w:val="none" w:sz="0" w:space="0" w:color="auto"/>
      </w:divBdr>
    </w:div>
    <w:div w:id="219170987">
      <w:bodyDiv w:val="1"/>
      <w:marLeft w:val="0"/>
      <w:marRight w:val="0"/>
      <w:marTop w:val="0"/>
      <w:marBottom w:val="0"/>
      <w:divBdr>
        <w:top w:val="none" w:sz="0" w:space="0" w:color="auto"/>
        <w:left w:val="none" w:sz="0" w:space="0" w:color="auto"/>
        <w:bottom w:val="none" w:sz="0" w:space="0" w:color="auto"/>
        <w:right w:val="none" w:sz="0" w:space="0" w:color="auto"/>
      </w:divBdr>
    </w:div>
    <w:div w:id="288324913">
      <w:bodyDiv w:val="1"/>
      <w:marLeft w:val="0"/>
      <w:marRight w:val="0"/>
      <w:marTop w:val="0"/>
      <w:marBottom w:val="0"/>
      <w:divBdr>
        <w:top w:val="none" w:sz="0" w:space="0" w:color="auto"/>
        <w:left w:val="none" w:sz="0" w:space="0" w:color="auto"/>
        <w:bottom w:val="none" w:sz="0" w:space="0" w:color="auto"/>
        <w:right w:val="none" w:sz="0" w:space="0" w:color="auto"/>
      </w:divBdr>
    </w:div>
    <w:div w:id="289088747">
      <w:bodyDiv w:val="1"/>
      <w:marLeft w:val="0"/>
      <w:marRight w:val="0"/>
      <w:marTop w:val="0"/>
      <w:marBottom w:val="0"/>
      <w:divBdr>
        <w:top w:val="none" w:sz="0" w:space="0" w:color="auto"/>
        <w:left w:val="none" w:sz="0" w:space="0" w:color="auto"/>
        <w:bottom w:val="none" w:sz="0" w:space="0" w:color="auto"/>
        <w:right w:val="none" w:sz="0" w:space="0" w:color="auto"/>
      </w:divBdr>
    </w:div>
    <w:div w:id="350885240">
      <w:bodyDiv w:val="1"/>
      <w:marLeft w:val="0"/>
      <w:marRight w:val="0"/>
      <w:marTop w:val="0"/>
      <w:marBottom w:val="0"/>
      <w:divBdr>
        <w:top w:val="none" w:sz="0" w:space="0" w:color="auto"/>
        <w:left w:val="none" w:sz="0" w:space="0" w:color="auto"/>
        <w:bottom w:val="none" w:sz="0" w:space="0" w:color="auto"/>
        <w:right w:val="none" w:sz="0" w:space="0" w:color="auto"/>
      </w:divBdr>
    </w:div>
    <w:div w:id="388649266">
      <w:bodyDiv w:val="1"/>
      <w:marLeft w:val="0"/>
      <w:marRight w:val="0"/>
      <w:marTop w:val="0"/>
      <w:marBottom w:val="0"/>
      <w:divBdr>
        <w:top w:val="none" w:sz="0" w:space="0" w:color="auto"/>
        <w:left w:val="none" w:sz="0" w:space="0" w:color="auto"/>
        <w:bottom w:val="none" w:sz="0" w:space="0" w:color="auto"/>
        <w:right w:val="none" w:sz="0" w:space="0" w:color="auto"/>
      </w:divBdr>
    </w:div>
    <w:div w:id="403795162">
      <w:bodyDiv w:val="1"/>
      <w:marLeft w:val="0"/>
      <w:marRight w:val="0"/>
      <w:marTop w:val="0"/>
      <w:marBottom w:val="0"/>
      <w:divBdr>
        <w:top w:val="none" w:sz="0" w:space="0" w:color="auto"/>
        <w:left w:val="none" w:sz="0" w:space="0" w:color="auto"/>
        <w:bottom w:val="none" w:sz="0" w:space="0" w:color="auto"/>
        <w:right w:val="none" w:sz="0" w:space="0" w:color="auto"/>
      </w:divBdr>
    </w:div>
    <w:div w:id="508523905">
      <w:bodyDiv w:val="1"/>
      <w:marLeft w:val="0"/>
      <w:marRight w:val="0"/>
      <w:marTop w:val="0"/>
      <w:marBottom w:val="0"/>
      <w:divBdr>
        <w:top w:val="none" w:sz="0" w:space="0" w:color="auto"/>
        <w:left w:val="none" w:sz="0" w:space="0" w:color="auto"/>
        <w:bottom w:val="none" w:sz="0" w:space="0" w:color="auto"/>
        <w:right w:val="none" w:sz="0" w:space="0" w:color="auto"/>
      </w:divBdr>
    </w:div>
    <w:div w:id="558637849">
      <w:bodyDiv w:val="1"/>
      <w:marLeft w:val="0"/>
      <w:marRight w:val="0"/>
      <w:marTop w:val="0"/>
      <w:marBottom w:val="0"/>
      <w:divBdr>
        <w:top w:val="none" w:sz="0" w:space="0" w:color="auto"/>
        <w:left w:val="none" w:sz="0" w:space="0" w:color="auto"/>
        <w:bottom w:val="none" w:sz="0" w:space="0" w:color="auto"/>
        <w:right w:val="none" w:sz="0" w:space="0" w:color="auto"/>
      </w:divBdr>
    </w:div>
    <w:div w:id="607203966">
      <w:bodyDiv w:val="1"/>
      <w:marLeft w:val="0"/>
      <w:marRight w:val="0"/>
      <w:marTop w:val="0"/>
      <w:marBottom w:val="0"/>
      <w:divBdr>
        <w:top w:val="none" w:sz="0" w:space="0" w:color="auto"/>
        <w:left w:val="none" w:sz="0" w:space="0" w:color="auto"/>
        <w:bottom w:val="none" w:sz="0" w:space="0" w:color="auto"/>
        <w:right w:val="none" w:sz="0" w:space="0" w:color="auto"/>
      </w:divBdr>
    </w:div>
    <w:div w:id="693731036">
      <w:bodyDiv w:val="1"/>
      <w:marLeft w:val="0"/>
      <w:marRight w:val="0"/>
      <w:marTop w:val="0"/>
      <w:marBottom w:val="0"/>
      <w:divBdr>
        <w:top w:val="none" w:sz="0" w:space="0" w:color="auto"/>
        <w:left w:val="none" w:sz="0" w:space="0" w:color="auto"/>
        <w:bottom w:val="none" w:sz="0" w:space="0" w:color="auto"/>
        <w:right w:val="none" w:sz="0" w:space="0" w:color="auto"/>
      </w:divBdr>
    </w:div>
    <w:div w:id="716591661">
      <w:bodyDiv w:val="1"/>
      <w:marLeft w:val="0"/>
      <w:marRight w:val="0"/>
      <w:marTop w:val="0"/>
      <w:marBottom w:val="0"/>
      <w:divBdr>
        <w:top w:val="none" w:sz="0" w:space="0" w:color="auto"/>
        <w:left w:val="none" w:sz="0" w:space="0" w:color="auto"/>
        <w:bottom w:val="none" w:sz="0" w:space="0" w:color="auto"/>
        <w:right w:val="none" w:sz="0" w:space="0" w:color="auto"/>
      </w:divBdr>
    </w:div>
    <w:div w:id="737626934">
      <w:bodyDiv w:val="1"/>
      <w:marLeft w:val="0"/>
      <w:marRight w:val="0"/>
      <w:marTop w:val="0"/>
      <w:marBottom w:val="0"/>
      <w:divBdr>
        <w:top w:val="none" w:sz="0" w:space="0" w:color="auto"/>
        <w:left w:val="none" w:sz="0" w:space="0" w:color="auto"/>
        <w:bottom w:val="none" w:sz="0" w:space="0" w:color="auto"/>
        <w:right w:val="none" w:sz="0" w:space="0" w:color="auto"/>
      </w:divBdr>
    </w:div>
    <w:div w:id="776217555">
      <w:bodyDiv w:val="1"/>
      <w:marLeft w:val="0"/>
      <w:marRight w:val="0"/>
      <w:marTop w:val="0"/>
      <w:marBottom w:val="0"/>
      <w:divBdr>
        <w:top w:val="none" w:sz="0" w:space="0" w:color="auto"/>
        <w:left w:val="none" w:sz="0" w:space="0" w:color="auto"/>
        <w:bottom w:val="none" w:sz="0" w:space="0" w:color="auto"/>
        <w:right w:val="none" w:sz="0" w:space="0" w:color="auto"/>
      </w:divBdr>
    </w:div>
    <w:div w:id="806900925">
      <w:bodyDiv w:val="1"/>
      <w:marLeft w:val="0"/>
      <w:marRight w:val="0"/>
      <w:marTop w:val="0"/>
      <w:marBottom w:val="0"/>
      <w:divBdr>
        <w:top w:val="none" w:sz="0" w:space="0" w:color="auto"/>
        <w:left w:val="none" w:sz="0" w:space="0" w:color="auto"/>
        <w:bottom w:val="none" w:sz="0" w:space="0" w:color="auto"/>
        <w:right w:val="none" w:sz="0" w:space="0" w:color="auto"/>
      </w:divBdr>
    </w:div>
    <w:div w:id="810749292">
      <w:bodyDiv w:val="1"/>
      <w:marLeft w:val="0"/>
      <w:marRight w:val="0"/>
      <w:marTop w:val="0"/>
      <w:marBottom w:val="0"/>
      <w:divBdr>
        <w:top w:val="none" w:sz="0" w:space="0" w:color="auto"/>
        <w:left w:val="none" w:sz="0" w:space="0" w:color="auto"/>
        <w:bottom w:val="none" w:sz="0" w:space="0" w:color="auto"/>
        <w:right w:val="none" w:sz="0" w:space="0" w:color="auto"/>
      </w:divBdr>
    </w:div>
    <w:div w:id="820925202">
      <w:bodyDiv w:val="1"/>
      <w:marLeft w:val="0"/>
      <w:marRight w:val="0"/>
      <w:marTop w:val="0"/>
      <w:marBottom w:val="0"/>
      <w:divBdr>
        <w:top w:val="none" w:sz="0" w:space="0" w:color="auto"/>
        <w:left w:val="none" w:sz="0" w:space="0" w:color="auto"/>
        <w:bottom w:val="none" w:sz="0" w:space="0" w:color="auto"/>
        <w:right w:val="none" w:sz="0" w:space="0" w:color="auto"/>
      </w:divBdr>
    </w:div>
    <w:div w:id="875507167">
      <w:bodyDiv w:val="1"/>
      <w:marLeft w:val="0"/>
      <w:marRight w:val="0"/>
      <w:marTop w:val="0"/>
      <w:marBottom w:val="0"/>
      <w:divBdr>
        <w:top w:val="none" w:sz="0" w:space="0" w:color="auto"/>
        <w:left w:val="none" w:sz="0" w:space="0" w:color="auto"/>
        <w:bottom w:val="none" w:sz="0" w:space="0" w:color="auto"/>
        <w:right w:val="none" w:sz="0" w:space="0" w:color="auto"/>
      </w:divBdr>
    </w:div>
    <w:div w:id="875657984">
      <w:bodyDiv w:val="1"/>
      <w:marLeft w:val="0"/>
      <w:marRight w:val="0"/>
      <w:marTop w:val="0"/>
      <w:marBottom w:val="0"/>
      <w:divBdr>
        <w:top w:val="none" w:sz="0" w:space="0" w:color="auto"/>
        <w:left w:val="none" w:sz="0" w:space="0" w:color="auto"/>
        <w:bottom w:val="none" w:sz="0" w:space="0" w:color="auto"/>
        <w:right w:val="none" w:sz="0" w:space="0" w:color="auto"/>
      </w:divBdr>
    </w:div>
    <w:div w:id="1111825682">
      <w:bodyDiv w:val="1"/>
      <w:marLeft w:val="0"/>
      <w:marRight w:val="0"/>
      <w:marTop w:val="0"/>
      <w:marBottom w:val="0"/>
      <w:divBdr>
        <w:top w:val="none" w:sz="0" w:space="0" w:color="auto"/>
        <w:left w:val="none" w:sz="0" w:space="0" w:color="auto"/>
        <w:bottom w:val="none" w:sz="0" w:space="0" w:color="auto"/>
        <w:right w:val="none" w:sz="0" w:space="0" w:color="auto"/>
      </w:divBdr>
    </w:div>
    <w:div w:id="1215119512">
      <w:bodyDiv w:val="1"/>
      <w:marLeft w:val="0"/>
      <w:marRight w:val="0"/>
      <w:marTop w:val="0"/>
      <w:marBottom w:val="0"/>
      <w:divBdr>
        <w:top w:val="none" w:sz="0" w:space="0" w:color="auto"/>
        <w:left w:val="none" w:sz="0" w:space="0" w:color="auto"/>
        <w:bottom w:val="none" w:sz="0" w:space="0" w:color="auto"/>
        <w:right w:val="none" w:sz="0" w:space="0" w:color="auto"/>
      </w:divBdr>
    </w:div>
    <w:div w:id="1275482153">
      <w:bodyDiv w:val="1"/>
      <w:marLeft w:val="0"/>
      <w:marRight w:val="0"/>
      <w:marTop w:val="0"/>
      <w:marBottom w:val="0"/>
      <w:divBdr>
        <w:top w:val="none" w:sz="0" w:space="0" w:color="auto"/>
        <w:left w:val="none" w:sz="0" w:space="0" w:color="auto"/>
        <w:bottom w:val="none" w:sz="0" w:space="0" w:color="auto"/>
        <w:right w:val="none" w:sz="0" w:space="0" w:color="auto"/>
      </w:divBdr>
    </w:div>
    <w:div w:id="1305350012">
      <w:bodyDiv w:val="1"/>
      <w:marLeft w:val="0"/>
      <w:marRight w:val="0"/>
      <w:marTop w:val="0"/>
      <w:marBottom w:val="0"/>
      <w:divBdr>
        <w:top w:val="none" w:sz="0" w:space="0" w:color="auto"/>
        <w:left w:val="none" w:sz="0" w:space="0" w:color="auto"/>
        <w:bottom w:val="none" w:sz="0" w:space="0" w:color="auto"/>
        <w:right w:val="none" w:sz="0" w:space="0" w:color="auto"/>
      </w:divBdr>
    </w:div>
    <w:div w:id="1321888194">
      <w:bodyDiv w:val="1"/>
      <w:marLeft w:val="0"/>
      <w:marRight w:val="0"/>
      <w:marTop w:val="0"/>
      <w:marBottom w:val="0"/>
      <w:divBdr>
        <w:top w:val="none" w:sz="0" w:space="0" w:color="auto"/>
        <w:left w:val="none" w:sz="0" w:space="0" w:color="auto"/>
        <w:bottom w:val="none" w:sz="0" w:space="0" w:color="auto"/>
        <w:right w:val="none" w:sz="0" w:space="0" w:color="auto"/>
      </w:divBdr>
    </w:div>
    <w:div w:id="1468084845">
      <w:bodyDiv w:val="1"/>
      <w:marLeft w:val="0"/>
      <w:marRight w:val="0"/>
      <w:marTop w:val="0"/>
      <w:marBottom w:val="0"/>
      <w:divBdr>
        <w:top w:val="none" w:sz="0" w:space="0" w:color="auto"/>
        <w:left w:val="none" w:sz="0" w:space="0" w:color="auto"/>
        <w:bottom w:val="none" w:sz="0" w:space="0" w:color="auto"/>
        <w:right w:val="none" w:sz="0" w:space="0" w:color="auto"/>
      </w:divBdr>
    </w:div>
    <w:div w:id="1485783238">
      <w:bodyDiv w:val="1"/>
      <w:marLeft w:val="0"/>
      <w:marRight w:val="0"/>
      <w:marTop w:val="0"/>
      <w:marBottom w:val="0"/>
      <w:divBdr>
        <w:top w:val="none" w:sz="0" w:space="0" w:color="auto"/>
        <w:left w:val="none" w:sz="0" w:space="0" w:color="auto"/>
        <w:bottom w:val="none" w:sz="0" w:space="0" w:color="auto"/>
        <w:right w:val="none" w:sz="0" w:space="0" w:color="auto"/>
      </w:divBdr>
    </w:div>
    <w:div w:id="1506818429">
      <w:bodyDiv w:val="1"/>
      <w:marLeft w:val="0"/>
      <w:marRight w:val="0"/>
      <w:marTop w:val="0"/>
      <w:marBottom w:val="0"/>
      <w:divBdr>
        <w:top w:val="none" w:sz="0" w:space="0" w:color="auto"/>
        <w:left w:val="none" w:sz="0" w:space="0" w:color="auto"/>
        <w:bottom w:val="none" w:sz="0" w:space="0" w:color="auto"/>
        <w:right w:val="none" w:sz="0" w:space="0" w:color="auto"/>
      </w:divBdr>
    </w:div>
    <w:div w:id="1684673245">
      <w:bodyDiv w:val="1"/>
      <w:marLeft w:val="0"/>
      <w:marRight w:val="0"/>
      <w:marTop w:val="0"/>
      <w:marBottom w:val="0"/>
      <w:divBdr>
        <w:top w:val="none" w:sz="0" w:space="0" w:color="auto"/>
        <w:left w:val="none" w:sz="0" w:space="0" w:color="auto"/>
        <w:bottom w:val="none" w:sz="0" w:space="0" w:color="auto"/>
        <w:right w:val="none" w:sz="0" w:space="0" w:color="auto"/>
      </w:divBdr>
    </w:div>
    <w:div w:id="1697585413">
      <w:bodyDiv w:val="1"/>
      <w:marLeft w:val="0"/>
      <w:marRight w:val="0"/>
      <w:marTop w:val="0"/>
      <w:marBottom w:val="0"/>
      <w:divBdr>
        <w:top w:val="none" w:sz="0" w:space="0" w:color="auto"/>
        <w:left w:val="none" w:sz="0" w:space="0" w:color="auto"/>
        <w:bottom w:val="none" w:sz="0" w:space="0" w:color="auto"/>
        <w:right w:val="none" w:sz="0" w:space="0" w:color="auto"/>
      </w:divBdr>
    </w:div>
    <w:div w:id="1703897786">
      <w:bodyDiv w:val="1"/>
      <w:marLeft w:val="0"/>
      <w:marRight w:val="0"/>
      <w:marTop w:val="0"/>
      <w:marBottom w:val="0"/>
      <w:divBdr>
        <w:top w:val="none" w:sz="0" w:space="0" w:color="auto"/>
        <w:left w:val="none" w:sz="0" w:space="0" w:color="auto"/>
        <w:bottom w:val="none" w:sz="0" w:space="0" w:color="auto"/>
        <w:right w:val="none" w:sz="0" w:space="0" w:color="auto"/>
      </w:divBdr>
    </w:div>
    <w:div w:id="1730301035">
      <w:bodyDiv w:val="1"/>
      <w:marLeft w:val="0"/>
      <w:marRight w:val="0"/>
      <w:marTop w:val="0"/>
      <w:marBottom w:val="0"/>
      <w:divBdr>
        <w:top w:val="none" w:sz="0" w:space="0" w:color="auto"/>
        <w:left w:val="none" w:sz="0" w:space="0" w:color="auto"/>
        <w:bottom w:val="none" w:sz="0" w:space="0" w:color="auto"/>
        <w:right w:val="none" w:sz="0" w:space="0" w:color="auto"/>
      </w:divBdr>
    </w:div>
    <w:div w:id="1732343558">
      <w:bodyDiv w:val="1"/>
      <w:marLeft w:val="0"/>
      <w:marRight w:val="0"/>
      <w:marTop w:val="0"/>
      <w:marBottom w:val="0"/>
      <w:divBdr>
        <w:top w:val="none" w:sz="0" w:space="0" w:color="auto"/>
        <w:left w:val="none" w:sz="0" w:space="0" w:color="auto"/>
        <w:bottom w:val="none" w:sz="0" w:space="0" w:color="auto"/>
        <w:right w:val="none" w:sz="0" w:space="0" w:color="auto"/>
      </w:divBdr>
    </w:div>
    <w:div w:id="1747192061">
      <w:bodyDiv w:val="1"/>
      <w:marLeft w:val="0"/>
      <w:marRight w:val="0"/>
      <w:marTop w:val="0"/>
      <w:marBottom w:val="0"/>
      <w:divBdr>
        <w:top w:val="none" w:sz="0" w:space="0" w:color="auto"/>
        <w:left w:val="none" w:sz="0" w:space="0" w:color="auto"/>
        <w:bottom w:val="none" w:sz="0" w:space="0" w:color="auto"/>
        <w:right w:val="none" w:sz="0" w:space="0" w:color="auto"/>
      </w:divBdr>
    </w:div>
    <w:div w:id="1788885440">
      <w:bodyDiv w:val="1"/>
      <w:marLeft w:val="0"/>
      <w:marRight w:val="0"/>
      <w:marTop w:val="0"/>
      <w:marBottom w:val="0"/>
      <w:divBdr>
        <w:top w:val="none" w:sz="0" w:space="0" w:color="auto"/>
        <w:left w:val="none" w:sz="0" w:space="0" w:color="auto"/>
        <w:bottom w:val="none" w:sz="0" w:space="0" w:color="auto"/>
        <w:right w:val="none" w:sz="0" w:space="0" w:color="auto"/>
      </w:divBdr>
    </w:div>
    <w:div w:id="1797407473">
      <w:bodyDiv w:val="1"/>
      <w:marLeft w:val="0"/>
      <w:marRight w:val="0"/>
      <w:marTop w:val="0"/>
      <w:marBottom w:val="0"/>
      <w:divBdr>
        <w:top w:val="none" w:sz="0" w:space="0" w:color="auto"/>
        <w:left w:val="none" w:sz="0" w:space="0" w:color="auto"/>
        <w:bottom w:val="none" w:sz="0" w:space="0" w:color="auto"/>
        <w:right w:val="none" w:sz="0" w:space="0" w:color="auto"/>
      </w:divBdr>
    </w:div>
    <w:div w:id="1814328431">
      <w:bodyDiv w:val="1"/>
      <w:marLeft w:val="0"/>
      <w:marRight w:val="0"/>
      <w:marTop w:val="0"/>
      <w:marBottom w:val="0"/>
      <w:divBdr>
        <w:top w:val="none" w:sz="0" w:space="0" w:color="auto"/>
        <w:left w:val="none" w:sz="0" w:space="0" w:color="auto"/>
        <w:bottom w:val="none" w:sz="0" w:space="0" w:color="auto"/>
        <w:right w:val="none" w:sz="0" w:space="0" w:color="auto"/>
      </w:divBdr>
    </w:div>
    <w:div w:id="1833255001">
      <w:bodyDiv w:val="1"/>
      <w:marLeft w:val="0"/>
      <w:marRight w:val="0"/>
      <w:marTop w:val="0"/>
      <w:marBottom w:val="0"/>
      <w:divBdr>
        <w:top w:val="none" w:sz="0" w:space="0" w:color="auto"/>
        <w:left w:val="none" w:sz="0" w:space="0" w:color="auto"/>
        <w:bottom w:val="none" w:sz="0" w:space="0" w:color="auto"/>
        <w:right w:val="none" w:sz="0" w:space="0" w:color="auto"/>
      </w:divBdr>
    </w:div>
    <w:div w:id="1838574267">
      <w:bodyDiv w:val="1"/>
      <w:marLeft w:val="0"/>
      <w:marRight w:val="0"/>
      <w:marTop w:val="0"/>
      <w:marBottom w:val="0"/>
      <w:divBdr>
        <w:top w:val="none" w:sz="0" w:space="0" w:color="auto"/>
        <w:left w:val="none" w:sz="0" w:space="0" w:color="auto"/>
        <w:bottom w:val="none" w:sz="0" w:space="0" w:color="auto"/>
        <w:right w:val="none" w:sz="0" w:space="0" w:color="auto"/>
      </w:divBdr>
    </w:div>
    <w:div w:id="1876383287">
      <w:bodyDiv w:val="1"/>
      <w:marLeft w:val="0"/>
      <w:marRight w:val="0"/>
      <w:marTop w:val="0"/>
      <w:marBottom w:val="0"/>
      <w:divBdr>
        <w:top w:val="none" w:sz="0" w:space="0" w:color="auto"/>
        <w:left w:val="none" w:sz="0" w:space="0" w:color="auto"/>
        <w:bottom w:val="none" w:sz="0" w:space="0" w:color="auto"/>
        <w:right w:val="none" w:sz="0" w:space="0" w:color="auto"/>
      </w:divBdr>
    </w:div>
    <w:div w:id="1925992228">
      <w:bodyDiv w:val="1"/>
      <w:marLeft w:val="0"/>
      <w:marRight w:val="0"/>
      <w:marTop w:val="0"/>
      <w:marBottom w:val="0"/>
      <w:divBdr>
        <w:top w:val="none" w:sz="0" w:space="0" w:color="auto"/>
        <w:left w:val="none" w:sz="0" w:space="0" w:color="auto"/>
        <w:bottom w:val="none" w:sz="0" w:space="0" w:color="auto"/>
        <w:right w:val="none" w:sz="0" w:space="0" w:color="auto"/>
      </w:divBdr>
    </w:div>
    <w:div w:id="1932542064">
      <w:bodyDiv w:val="1"/>
      <w:marLeft w:val="0"/>
      <w:marRight w:val="0"/>
      <w:marTop w:val="0"/>
      <w:marBottom w:val="0"/>
      <w:divBdr>
        <w:top w:val="none" w:sz="0" w:space="0" w:color="auto"/>
        <w:left w:val="none" w:sz="0" w:space="0" w:color="auto"/>
        <w:bottom w:val="none" w:sz="0" w:space="0" w:color="auto"/>
        <w:right w:val="none" w:sz="0" w:space="0" w:color="auto"/>
      </w:divBdr>
    </w:div>
    <w:div w:id="1933317187">
      <w:bodyDiv w:val="1"/>
      <w:marLeft w:val="0"/>
      <w:marRight w:val="0"/>
      <w:marTop w:val="0"/>
      <w:marBottom w:val="0"/>
      <w:divBdr>
        <w:top w:val="none" w:sz="0" w:space="0" w:color="auto"/>
        <w:left w:val="none" w:sz="0" w:space="0" w:color="auto"/>
        <w:bottom w:val="none" w:sz="0" w:space="0" w:color="auto"/>
        <w:right w:val="none" w:sz="0" w:space="0" w:color="auto"/>
      </w:divBdr>
    </w:div>
    <w:div w:id="1944340811">
      <w:bodyDiv w:val="1"/>
      <w:marLeft w:val="0"/>
      <w:marRight w:val="0"/>
      <w:marTop w:val="0"/>
      <w:marBottom w:val="0"/>
      <w:divBdr>
        <w:top w:val="none" w:sz="0" w:space="0" w:color="auto"/>
        <w:left w:val="none" w:sz="0" w:space="0" w:color="auto"/>
        <w:bottom w:val="none" w:sz="0" w:space="0" w:color="auto"/>
        <w:right w:val="none" w:sz="0" w:space="0" w:color="auto"/>
      </w:divBdr>
    </w:div>
    <w:div w:id="1956909039">
      <w:bodyDiv w:val="1"/>
      <w:marLeft w:val="0"/>
      <w:marRight w:val="0"/>
      <w:marTop w:val="0"/>
      <w:marBottom w:val="0"/>
      <w:divBdr>
        <w:top w:val="none" w:sz="0" w:space="0" w:color="auto"/>
        <w:left w:val="none" w:sz="0" w:space="0" w:color="auto"/>
        <w:bottom w:val="none" w:sz="0" w:space="0" w:color="auto"/>
        <w:right w:val="none" w:sz="0" w:space="0" w:color="auto"/>
      </w:divBdr>
    </w:div>
    <w:div w:id="1970551398">
      <w:bodyDiv w:val="1"/>
      <w:marLeft w:val="0"/>
      <w:marRight w:val="0"/>
      <w:marTop w:val="0"/>
      <w:marBottom w:val="0"/>
      <w:divBdr>
        <w:top w:val="none" w:sz="0" w:space="0" w:color="auto"/>
        <w:left w:val="none" w:sz="0" w:space="0" w:color="auto"/>
        <w:bottom w:val="none" w:sz="0" w:space="0" w:color="auto"/>
        <w:right w:val="none" w:sz="0" w:space="0" w:color="auto"/>
      </w:divBdr>
    </w:div>
    <w:div w:id="2004510602">
      <w:bodyDiv w:val="1"/>
      <w:marLeft w:val="0"/>
      <w:marRight w:val="0"/>
      <w:marTop w:val="0"/>
      <w:marBottom w:val="0"/>
      <w:divBdr>
        <w:top w:val="none" w:sz="0" w:space="0" w:color="auto"/>
        <w:left w:val="none" w:sz="0" w:space="0" w:color="auto"/>
        <w:bottom w:val="none" w:sz="0" w:space="0" w:color="auto"/>
        <w:right w:val="none" w:sz="0" w:space="0" w:color="auto"/>
      </w:divBdr>
    </w:div>
    <w:div w:id="2021010458">
      <w:bodyDiv w:val="1"/>
      <w:marLeft w:val="0"/>
      <w:marRight w:val="0"/>
      <w:marTop w:val="0"/>
      <w:marBottom w:val="0"/>
      <w:divBdr>
        <w:top w:val="none" w:sz="0" w:space="0" w:color="auto"/>
        <w:left w:val="none" w:sz="0" w:space="0" w:color="auto"/>
        <w:bottom w:val="none" w:sz="0" w:space="0" w:color="auto"/>
        <w:right w:val="none" w:sz="0" w:space="0" w:color="auto"/>
      </w:divBdr>
    </w:div>
    <w:div w:id="2084984538">
      <w:bodyDiv w:val="1"/>
      <w:marLeft w:val="0"/>
      <w:marRight w:val="0"/>
      <w:marTop w:val="0"/>
      <w:marBottom w:val="0"/>
      <w:divBdr>
        <w:top w:val="none" w:sz="0" w:space="0" w:color="auto"/>
        <w:left w:val="none" w:sz="0" w:space="0" w:color="auto"/>
        <w:bottom w:val="none" w:sz="0" w:space="0" w:color="auto"/>
        <w:right w:val="none" w:sz="0" w:space="0" w:color="auto"/>
      </w:divBdr>
    </w:div>
    <w:div w:id="2132435757">
      <w:bodyDiv w:val="1"/>
      <w:marLeft w:val="0"/>
      <w:marRight w:val="0"/>
      <w:marTop w:val="0"/>
      <w:marBottom w:val="0"/>
      <w:divBdr>
        <w:top w:val="none" w:sz="0" w:space="0" w:color="auto"/>
        <w:left w:val="none" w:sz="0" w:space="0" w:color="auto"/>
        <w:bottom w:val="none" w:sz="0" w:space="0" w:color="auto"/>
        <w:right w:val="none" w:sz="0" w:space="0" w:color="auto"/>
      </w:divBdr>
    </w:div>
    <w:div w:id="2142726389">
      <w:bodyDiv w:val="1"/>
      <w:marLeft w:val="0"/>
      <w:marRight w:val="0"/>
      <w:marTop w:val="0"/>
      <w:marBottom w:val="0"/>
      <w:divBdr>
        <w:top w:val="none" w:sz="0" w:space="0" w:color="auto"/>
        <w:left w:val="none" w:sz="0" w:space="0" w:color="auto"/>
        <w:bottom w:val="none" w:sz="0" w:space="0" w:color="auto"/>
        <w:right w:val="none" w:sz="0" w:space="0" w:color="auto"/>
      </w:divBdr>
    </w:div>
    <w:div w:id="21465803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uroparl.europa.eu/sides/getDoc.do?pubRef=-%2f%2fEP%2f%2fNONSGML%2bCOMPARL%2bPE-626.780%2b01%2bDOC%2bPDF%2bV0%2f%2fEN"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europarl.europa.eu/sides/getDoc.do?pubRef=-%2f%2fEP%2f%2fNONSGML%2bCOMPARL%2bPE-626.775%2b01%2bDOC%2bPDF%2bV0%2f%2fEN"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Distribution of concerns expressed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Sheet2!$H$32:$H$53</c:f>
              <c:strCache>
                <c:ptCount val="22"/>
                <c:pt idx="0">
                  <c:v>Recital 15</c:v>
                </c:pt>
                <c:pt idx="1">
                  <c:v>Recital 22</c:v>
                </c:pt>
                <c:pt idx="2">
                  <c:v>Recital 33</c:v>
                </c:pt>
                <c:pt idx="3">
                  <c:v>Art. 3</c:v>
                </c:pt>
                <c:pt idx="4">
                  <c:v>Art. 5</c:v>
                </c:pt>
                <c:pt idx="5">
                  <c:v>Art. 6</c:v>
                </c:pt>
                <c:pt idx="6">
                  <c:v>Art. 7</c:v>
                </c:pt>
                <c:pt idx="7">
                  <c:v>Art. 8</c:v>
                </c:pt>
                <c:pt idx="8">
                  <c:v>Art. 9</c:v>
                </c:pt>
                <c:pt idx="9">
                  <c:v>Art. 10</c:v>
                </c:pt>
                <c:pt idx="10">
                  <c:v>Art. 11</c:v>
                </c:pt>
                <c:pt idx="11">
                  <c:v>Art. 15</c:v>
                </c:pt>
                <c:pt idx="12">
                  <c:v>Art. 16</c:v>
                </c:pt>
                <c:pt idx="13">
                  <c:v>Art. 17</c:v>
                </c:pt>
                <c:pt idx="14">
                  <c:v>Art. 32</c:v>
                </c:pt>
                <c:pt idx="16">
                  <c:v>Recital 12 (a) </c:v>
                </c:pt>
                <c:pt idx="17">
                  <c:v>Recital 12 (b)</c:v>
                </c:pt>
                <c:pt idx="18">
                  <c:v>CRR Art 129 1</c:v>
                </c:pt>
                <c:pt idx="19">
                  <c:v>CRR Art 129 3</c:v>
                </c:pt>
                <c:pt idx="20">
                  <c:v>CRR 129 7a</c:v>
                </c:pt>
                <c:pt idx="21">
                  <c:v>CRR 129 7b</c:v>
                </c:pt>
              </c:strCache>
            </c:strRef>
          </c:cat>
          <c:val>
            <c:numRef>
              <c:f>Sheet2!$H$32:$H$53</c:f>
              <c:numCache>
                <c:formatCode>General</c:formatCode>
                <c:ptCount val="2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6">
                  <c:v>0</c:v>
                </c:pt>
                <c:pt idx="17">
                  <c:v>0</c:v>
                </c:pt>
                <c:pt idx="18">
                  <c:v>0</c:v>
                </c:pt>
                <c:pt idx="19">
                  <c:v>0</c:v>
                </c:pt>
                <c:pt idx="20">
                  <c:v>0</c:v>
                </c:pt>
                <c:pt idx="21">
                  <c:v>0</c:v>
                </c:pt>
              </c:numCache>
            </c:numRef>
          </c:val>
          <c:extLst>
            <c:ext xmlns:c16="http://schemas.microsoft.com/office/drawing/2014/chart" uri="{C3380CC4-5D6E-409C-BE32-E72D297353CC}">
              <c16:uniqueId val="{00000000-9B8C-4D95-8290-77D8526ED5AF}"/>
            </c:ext>
          </c:extLst>
        </c:ser>
        <c:ser>
          <c:idx val="1"/>
          <c:order val="1"/>
          <c:spPr>
            <a:solidFill>
              <a:schemeClr val="accent2"/>
            </a:solidFill>
            <a:ln>
              <a:noFill/>
            </a:ln>
            <a:effectLst/>
          </c:spPr>
          <c:invertIfNegative val="0"/>
          <c:cat>
            <c:strRef>
              <c:f>Sheet2!$H$32:$H$53</c:f>
              <c:strCache>
                <c:ptCount val="22"/>
                <c:pt idx="0">
                  <c:v>Recital 15</c:v>
                </c:pt>
                <c:pt idx="1">
                  <c:v>Recital 22</c:v>
                </c:pt>
                <c:pt idx="2">
                  <c:v>Recital 33</c:v>
                </c:pt>
                <c:pt idx="3">
                  <c:v>Art. 3</c:v>
                </c:pt>
                <c:pt idx="4">
                  <c:v>Art. 5</c:v>
                </c:pt>
                <c:pt idx="5">
                  <c:v>Art. 6</c:v>
                </c:pt>
                <c:pt idx="6">
                  <c:v>Art. 7</c:v>
                </c:pt>
                <c:pt idx="7">
                  <c:v>Art. 8</c:v>
                </c:pt>
                <c:pt idx="8">
                  <c:v>Art. 9</c:v>
                </c:pt>
                <c:pt idx="9">
                  <c:v>Art. 10</c:v>
                </c:pt>
                <c:pt idx="10">
                  <c:v>Art. 11</c:v>
                </c:pt>
                <c:pt idx="11">
                  <c:v>Art. 15</c:v>
                </c:pt>
                <c:pt idx="12">
                  <c:v>Art. 16</c:v>
                </c:pt>
                <c:pt idx="13">
                  <c:v>Art. 17</c:v>
                </c:pt>
                <c:pt idx="14">
                  <c:v>Art. 32</c:v>
                </c:pt>
                <c:pt idx="16">
                  <c:v>Recital 12 (a) </c:v>
                </c:pt>
                <c:pt idx="17">
                  <c:v>Recital 12 (b)</c:v>
                </c:pt>
                <c:pt idx="18">
                  <c:v>CRR Art 129 1</c:v>
                </c:pt>
                <c:pt idx="19">
                  <c:v>CRR Art 129 3</c:v>
                </c:pt>
                <c:pt idx="20">
                  <c:v>CRR 129 7a</c:v>
                </c:pt>
                <c:pt idx="21">
                  <c:v>CRR 129 7b</c:v>
                </c:pt>
              </c:strCache>
            </c:strRef>
          </c:cat>
          <c:val>
            <c:numRef>
              <c:f>Sheet2!$I$32:$I$53</c:f>
              <c:numCache>
                <c:formatCode>General</c:formatCode>
                <c:ptCount val="22"/>
                <c:pt idx="0">
                  <c:v>1</c:v>
                </c:pt>
                <c:pt idx="1">
                  <c:v>3</c:v>
                </c:pt>
                <c:pt idx="2">
                  <c:v>1</c:v>
                </c:pt>
                <c:pt idx="3">
                  <c:v>1</c:v>
                </c:pt>
                <c:pt idx="4">
                  <c:v>1</c:v>
                </c:pt>
                <c:pt idx="5">
                  <c:v>9</c:v>
                </c:pt>
                <c:pt idx="6">
                  <c:v>2</c:v>
                </c:pt>
                <c:pt idx="7">
                  <c:v>2</c:v>
                </c:pt>
                <c:pt idx="8">
                  <c:v>1</c:v>
                </c:pt>
                <c:pt idx="9">
                  <c:v>3</c:v>
                </c:pt>
                <c:pt idx="10">
                  <c:v>5</c:v>
                </c:pt>
                <c:pt idx="11">
                  <c:v>6</c:v>
                </c:pt>
                <c:pt idx="12">
                  <c:v>7</c:v>
                </c:pt>
                <c:pt idx="13">
                  <c:v>4</c:v>
                </c:pt>
                <c:pt idx="14">
                  <c:v>1</c:v>
                </c:pt>
                <c:pt idx="16">
                  <c:v>1</c:v>
                </c:pt>
                <c:pt idx="17">
                  <c:v>2</c:v>
                </c:pt>
                <c:pt idx="18">
                  <c:v>7</c:v>
                </c:pt>
                <c:pt idx="19">
                  <c:v>4</c:v>
                </c:pt>
                <c:pt idx="20">
                  <c:v>2</c:v>
                </c:pt>
                <c:pt idx="21">
                  <c:v>4</c:v>
                </c:pt>
              </c:numCache>
            </c:numRef>
          </c:val>
          <c:extLst>
            <c:ext xmlns:c16="http://schemas.microsoft.com/office/drawing/2014/chart" uri="{C3380CC4-5D6E-409C-BE32-E72D297353CC}">
              <c16:uniqueId val="{00000001-9B8C-4D95-8290-77D8526ED5AF}"/>
            </c:ext>
          </c:extLst>
        </c:ser>
        <c:dLbls>
          <c:showLegendKey val="0"/>
          <c:showVal val="0"/>
          <c:showCatName val="0"/>
          <c:showSerName val="0"/>
          <c:showPercent val="0"/>
          <c:showBubbleSize val="0"/>
        </c:dLbls>
        <c:gapWidth val="52"/>
        <c:overlap val="28"/>
        <c:axId val="673966400"/>
        <c:axId val="673967384"/>
      </c:barChart>
      <c:catAx>
        <c:axId val="673966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967384"/>
        <c:crosses val="autoZero"/>
        <c:auto val="1"/>
        <c:lblAlgn val="ctr"/>
        <c:lblOffset val="100"/>
        <c:noMultiLvlLbl val="0"/>
      </c:catAx>
      <c:valAx>
        <c:axId val="673967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9664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AA868D-E274-40C6-9713-1EA078D0F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13667</Words>
  <Characters>77907</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European Mortgage Federation</Company>
  <LinksUpToDate>false</LinksUpToDate>
  <CharactersWithSpaces>91392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Daniele Westig</dc:creator>
  <cp:keywords/>
  <dc:description/>
  <cp:lastModifiedBy>Jasmin Abdel Fattah</cp:lastModifiedBy>
  <cp:revision>2</cp:revision>
  <cp:lastPrinted>2018-09-10T10:50:00Z</cp:lastPrinted>
  <dcterms:created xsi:type="dcterms:W3CDTF">2018-09-18T15:01:00Z</dcterms:created>
  <dcterms:modified xsi:type="dcterms:W3CDTF">2018-09-18T15:01:00Z</dcterms:modified>
</cp:coreProperties>
</file>